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1C6CCD" w14:textId="5C1F89CE" w:rsidR="005E1F4B" w:rsidRDefault="005E1F4B" w:rsidP="009026AE">
      <w:pPr>
        <w:pStyle w:val="3GPPHeader"/>
        <w:snapToGrid w:val="0"/>
      </w:pPr>
      <w:r>
        <w:t>3GPP TSG-RAN WG</w:t>
      </w:r>
      <w:r w:rsidR="00C218FC">
        <w:t>1</w:t>
      </w:r>
      <w:r>
        <w:t xml:space="preserve"> Meeting #</w:t>
      </w:r>
      <w:r w:rsidR="00C218FC">
        <w:t>9</w:t>
      </w:r>
      <w:r w:rsidR="00644835">
        <w:t>7</w:t>
      </w:r>
      <w:r>
        <w:t xml:space="preserve">                                </w:t>
      </w:r>
      <w:r>
        <w:tab/>
      </w:r>
      <w:r w:rsidR="006C627A" w:rsidRPr="006C627A">
        <w:t>R1-</w:t>
      </w:r>
      <w:r w:rsidR="002A48BD">
        <w:t>190</w:t>
      </w:r>
      <w:r w:rsidR="009B2A8D">
        <w:t>7</w:t>
      </w:r>
      <w:r w:rsidR="002A48BD">
        <w:t>357</w:t>
      </w:r>
    </w:p>
    <w:p w14:paraId="6786BDAD" w14:textId="0807D577" w:rsidR="005E1F4B" w:rsidRDefault="00644835" w:rsidP="009026AE">
      <w:pPr>
        <w:pStyle w:val="3GPPHeader"/>
        <w:snapToGrid w:val="0"/>
      </w:pPr>
      <w:r>
        <w:t>Reno</w:t>
      </w:r>
      <w:r w:rsidR="005E1F4B">
        <w:t xml:space="preserve">, </w:t>
      </w:r>
      <w:r>
        <w:rPr>
          <w:noProof/>
        </w:rPr>
        <w:t>USA</w:t>
      </w:r>
      <w:r w:rsidR="005E1F4B">
        <w:t xml:space="preserve">, </w:t>
      </w:r>
      <w:r>
        <w:t>13</w:t>
      </w:r>
      <w:r w:rsidR="00092C12" w:rsidRPr="00092C12">
        <w:rPr>
          <w:vertAlign w:val="superscript"/>
        </w:rPr>
        <w:t>th</w:t>
      </w:r>
      <w:r w:rsidR="00092C12">
        <w:t xml:space="preserve"> </w:t>
      </w:r>
      <w:r w:rsidR="005E1F4B">
        <w:t xml:space="preserve">– </w:t>
      </w:r>
      <w:r w:rsidR="00092C12">
        <w:t>1</w:t>
      </w:r>
      <w:r>
        <w:t>7</w:t>
      </w:r>
      <w:r w:rsidR="00092C12" w:rsidRPr="00092C12">
        <w:rPr>
          <w:vertAlign w:val="superscript"/>
        </w:rPr>
        <w:t>th</w:t>
      </w:r>
      <w:r w:rsidR="00092C12">
        <w:t xml:space="preserve"> </w:t>
      </w:r>
      <w:r>
        <w:t>May</w:t>
      </w:r>
      <w:r w:rsidR="005E1F4B">
        <w:t xml:space="preserve"> 2019</w:t>
      </w:r>
      <w:r w:rsidR="005E1F4B">
        <w:tab/>
      </w:r>
    </w:p>
    <w:p w14:paraId="37278172" w14:textId="77777777" w:rsidR="005E1F4B" w:rsidRDefault="005E1F4B" w:rsidP="009026AE">
      <w:pPr>
        <w:pStyle w:val="3GPPHeader"/>
        <w:snapToGrid w:val="0"/>
      </w:pPr>
      <w:r>
        <w:tab/>
      </w:r>
    </w:p>
    <w:p w14:paraId="019DC5F7" w14:textId="09DF7A58" w:rsidR="005E1F4B" w:rsidRDefault="005E1F4B" w:rsidP="009026AE">
      <w:pPr>
        <w:pStyle w:val="3GPPHeader"/>
        <w:snapToGrid w:val="0"/>
      </w:pPr>
      <w:r>
        <w:t xml:space="preserve">Source: </w:t>
      </w:r>
      <w:r>
        <w:tab/>
      </w:r>
      <w:r w:rsidR="00140D47" w:rsidRPr="00CB4CD7">
        <w:t>Asia Pacific Telecom</w:t>
      </w:r>
      <w:r w:rsidR="008D0926">
        <w:t>, MTI</w:t>
      </w:r>
    </w:p>
    <w:p w14:paraId="1CC03627" w14:textId="03C24FFD" w:rsidR="005E1F4B" w:rsidRDefault="005E1F4B" w:rsidP="009026AE">
      <w:pPr>
        <w:pStyle w:val="3GPPHeader"/>
        <w:snapToGrid w:val="0"/>
      </w:pPr>
      <w:r>
        <w:t xml:space="preserve">Title: </w:t>
      </w:r>
      <w:r>
        <w:tab/>
      </w:r>
      <w:r w:rsidR="008D0926">
        <w:t>Physical layer control procedures</w:t>
      </w:r>
    </w:p>
    <w:p w14:paraId="14EA2A19" w14:textId="0B14C718" w:rsidR="005E1F4B" w:rsidRDefault="005E1F4B" w:rsidP="009026AE">
      <w:pPr>
        <w:pStyle w:val="3GPPHeader"/>
        <w:snapToGrid w:val="0"/>
      </w:pPr>
      <w:r>
        <w:t>Agenda item:</w:t>
      </w:r>
      <w:r>
        <w:tab/>
      </w:r>
      <w:r w:rsidR="00A558B4">
        <w:t>7.2.</w:t>
      </w:r>
      <w:r w:rsidR="008D0926">
        <w:t>5</w:t>
      </w:r>
      <w:r w:rsidR="00A558B4">
        <w:t>.</w:t>
      </w:r>
      <w:r w:rsidR="00644835">
        <w:t>2</w:t>
      </w:r>
    </w:p>
    <w:p w14:paraId="765DBB56" w14:textId="77777777" w:rsidR="005E1F4B" w:rsidRDefault="005E1F4B" w:rsidP="009026AE">
      <w:pPr>
        <w:pStyle w:val="3GPPHeader"/>
        <w:snapToGrid w:val="0"/>
      </w:pPr>
      <w:r>
        <w:t>Document for:</w:t>
      </w:r>
      <w:r>
        <w:tab/>
        <w:t>Discussion and Decision</w:t>
      </w:r>
    </w:p>
    <w:p w14:paraId="04E8C7EC" w14:textId="77777777" w:rsidR="005E1F4B" w:rsidRPr="00CF2030" w:rsidRDefault="005E1F4B" w:rsidP="00644835">
      <w:pPr>
        <w:pStyle w:val="Heading1"/>
        <w:snapToGrid w:val="0"/>
        <w:jc w:val="both"/>
      </w:pPr>
      <w:r>
        <w:t>Introduction</w:t>
      </w:r>
    </w:p>
    <w:p w14:paraId="714A535E" w14:textId="5438347C" w:rsidR="005E1F4B" w:rsidRPr="00644835" w:rsidRDefault="00092C12">
      <w:pPr>
        <w:snapToGrid w:val="0"/>
        <w:rPr>
          <w:szCs w:val="22"/>
        </w:rPr>
      </w:pPr>
      <w:r w:rsidRPr="00644835">
        <w:rPr>
          <w:szCs w:val="22"/>
        </w:rPr>
        <w:t xml:space="preserve">In </w:t>
      </w:r>
      <w:r w:rsidR="00644835" w:rsidRPr="00644835">
        <w:rPr>
          <w:szCs w:val="22"/>
        </w:rPr>
        <w:t>previous meetings</w:t>
      </w:r>
      <w:r w:rsidRPr="00644835">
        <w:rPr>
          <w:szCs w:val="22"/>
        </w:rPr>
        <w:t xml:space="preserve">, </w:t>
      </w:r>
      <w:r w:rsidR="00F176E3">
        <w:rPr>
          <w:szCs w:val="22"/>
        </w:rPr>
        <w:t xml:space="preserve">the following </w:t>
      </w:r>
      <w:r w:rsidRPr="00644835">
        <w:rPr>
          <w:szCs w:val="22"/>
        </w:rPr>
        <w:t xml:space="preserve">agreements </w:t>
      </w:r>
      <w:r w:rsidR="00F176E3">
        <w:rPr>
          <w:szCs w:val="22"/>
        </w:rPr>
        <w:t>have been made</w:t>
      </w:r>
      <w:r w:rsidR="00644835" w:rsidRPr="00644835">
        <w:rPr>
          <w:szCs w:val="22"/>
        </w:rPr>
        <w:t>:</w:t>
      </w:r>
    </w:p>
    <w:tbl>
      <w:tblPr>
        <w:tblStyle w:val="TableGrid"/>
        <w:tblW w:w="0" w:type="auto"/>
        <w:tblLook w:val="04A0" w:firstRow="1" w:lastRow="0" w:firstColumn="1" w:lastColumn="0" w:noHBand="0" w:noVBand="1"/>
      </w:tblPr>
      <w:tblGrid>
        <w:gridCol w:w="9350"/>
      </w:tblGrid>
      <w:tr w:rsidR="005E1F4B" w:rsidRPr="00644835" w14:paraId="170F1A72" w14:textId="77777777" w:rsidTr="008F0C94">
        <w:tc>
          <w:tcPr>
            <w:tcW w:w="9350" w:type="dxa"/>
            <w:shd w:val="clear" w:color="auto" w:fill="auto"/>
          </w:tcPr>
          <w:p w14:paraId="5B96BCE7" w14:textId="0334E7B2" w:rsidR="007C28B2" w:rsidRPr="007C28B2" w:rsidRDefault="007C28B2" w:rsidP="007C28B2">
            <w:pPr>
              <w:spacing w:before="120" w:after="0"/>
              <w:rPr>
                <w:b/>
              </w:rPr>
            </w:pPr>
            <w:r w:rsidRPr="008F0C94">
              <w:rPr>
                <w:b/>
                <w:highlight w:val="green"/>
              </w:rPr>
              <w:t>Agreement</w:t>
            </w:r>
            <w:r w:rsidR="008F0C94">
              <w:t xml:space="preserve"> in RAN1#96-Bis</w:t>
            </w:r>
          </w:p>
          <w:p w14:paraId="4C568A6B" w14:textId="40D9D058" w:rsidR="007C28B2" w:rsidRPr="008F0C94" w:rsidRDefault="007C28B2" w:rsidP="00A43B24">
            <w:pPr>
              <w:pStyle w:val="ListParagraph"/>
              <w:numPr>
                <w:ilvl w:val="0"/>
                <w:numId w:val="4"/>
              </w:numPr>
            </w:pPr>
            <w:r w:rsidRPr="00782615">
              <w:rPr>
                <w:u w:val="single"/>
              </w:rPr>
              <w:t>A, C2, D2 NTN scenarios for both S-Band and Ka-Band should be prioritized</w:t>
            </w:r>
            <w:r w:rsidRPr="008F0C94">
              <w:t xml:space="preserve"> for RAN1 NTN Evaluation. Further prioritization among the relevant combinations of these configuration scenarios can be considered.</w:t>
            </w:r>
          </w:p>
          <w:p w14:paraId="7623EE9E" w14:textId="7AEC6322" w:rsidR="008B461D" w:rsidRPr="00D82662" w:rsidRDefault="008B461D" w:rsidP="008B461D">
            <w:r w:rsidRPr="00D82662">
              <w:rPr>
                <w:b/>
                <w:highlight w:val="green"/>
              </w:rPr>
              <w:t>Agreement</w:t>
            </w:r>
            <w:r w:rsidRPr="00D82662">
              <w:rPr>
                <w:b/>
              </w:rPr>
              <w:t xml:space="preserve"> </w:t>
            </w:r>
            <w:r w:rsidR="00D82662" w:rsidRPr="00D82662">
              <w:t>in RAN2#104</w:t>
            </w:r>
          </w:p>
          <w:p w14:paraId="1A19963E" w14:textId="31BE8C95" w:rsidR="008B461D" w:rsidRDefault="008B461D" w:rsidP="008B461D">
            <w:r>
              <w:t xml:space="preserve">For Mobility RAN2 agreed: </w:t>
            </w:r>
          </w:p>
          <w:p w14:paraId="62A57EFF" w14:textId="7BC0CCDD" w:rsidR="008B461D" w:rsidRPr="007D598C" w:rsidRDefault="008B461D" w:rsidP="00A43B24">
            <w:pPr>
              <w:pStyle w:val="ListParagraph"/>
              <w:numPr>
                <w:ilvl w:val="0"/>
                <w:numId w:val="3"/>
              </w:numPr>
              <w:rPr>
                <w:color w:val="000000" w:themeColor="text1"/>
              </w:rPr>
            </w:pPr>
            <w:r w:rsidRPr="007D598C">
              <w:rPr>
                <w:color w:val="000000" w:themeColor="text1"/>
                <w:u w:val="single"/>
              </w:rPr>
              <w:t>Satellite beams, satellites or satellite cells are not considered to be visible</w:t>
            </w:r>
            <w:r w:rsidRPr="007D598C">
              <w:rPr>
                <w:color w:val="000000" w:themeColor="text1"/>
              </w:rPr>
              <w:t xml:space="preserve"> from UE perspective in NTN SI. This does not preclude differentiating at the PLMN level the type of network (e.g. NTN vs. terrestrial).  This is up to SA2.  </w:t>
            </w:r>
          </w:p>
          <w:p w14:paraId="0205D881" w14:textId="72BA57C3" w:rsidR="008B461D" w:rsidRDefault="008B461D" w:rsidP="00A43B24">
            <w:pPr>
              <w:pStyle w:val="ListParagraph"/>
              <w:numPr>
                <w:ilvl w:val="0"/>
                <w:numId w:val="3"/>
              </w:numPr>
            </w:pPr>
            <w:r>
              <w:t xml:space="preserve">Revise the current definition of satellite cell in TR 38.821 and refer to a satellite beam.  Definition of satellite beam can be discussed during email discussion.  </w:t>
            </w:r>
          </w:p>
          <w:p w14:paraId="354F7480" w14:textId="5DC1F936" w:rsidR="008B461D" w:rsidRDefault="008B461D" w:rsidP="00A43B24">
            <w:pPr>
              <w:pStyle w:val="ListParagraph"/>
              <w:numPr>
                <w:ilvl w:val="0"/>
                <w:numId w:val="3"/>
              </w:numPr>
            </w:pPr>
            <w:r>
              <w:t xml:space="preserve">Add text in TR 38.821 stating </w:t>
            </w:r>
            <w:r w:rsidRPr="00AF4BC0">
              <w:rPr>
                <w:u w:val="single"/>
              </w:rPr>
              <w:t>that association between NR PCI and NR SSBs is left for implementation</w:t>
            </w:r>
            <w:r>
              <w:t xml:space="preserve"> (i.e. it will not be specified)</w:t>
            </w:r>
          </w:p>
          <w:p w14:paraId="44352FB7" w14:textId="7FAEB808" w:rsidR="008B461D" w:rsidRDefault="008B461D" w:rsidP="00A43B24">
            <w:pPr>
              <w:pStyle w:val="ListParagraph"/>
              <w:numPr>
                <w:ilvl w:val="0"/>
                <w:numId w:val="3"/>
              </w:numPr>
            </w:pPr>
            <w:r>
              <w:t>Consider Rel-15 definitions as a baseline for NTN</w:t>
            </w:r>
          </w:p>
          <w:p w14:paraId="2689FF2D" w14:textId="59E0F70B" w:rsidR="008B461D" w:rsidRPr="00B10DAE" w:rsidRDefault="008B461D" w:rsidP="00A43B24">
            <w:pPr>
              <w:pStyle w:val="ListParagraph"/>
              <w:numPr>
                <w:ilvl w:val="0"/>
                <w:numId w:val="3"/>
              </w:numPr>
            </w:pPr>
            <w:r w:rsidRPr="00AF4BC0">
              <w:rPr>
                <w:u w:val="single"/>
              </w:rPr>
              <w:t>Both option a and b can be considered in NTN SI with one or multiple SSBs per PCI.</w:t>
            </w:r>
            <w:r>
              <w:t xml:space="preserve">  The TR will capture a figure for both options.</w:t>
            </w:r>
          </w:p>
        </w:tc>
      </w:tr>
    </w:tbl>
    <w:p w14:paraId="39764AA0" w14:textId="792946B8" w:rsidR="00C92BFE" w:rsidRPr="00A1623E" w:rsidRDefault="00897341" w:rsidP="00A1623E">
      <w:pPr>
        <w:spacing w:before="120"/>
        <w:rPr>
          <w:szCs w:val="22"/>
        </w:rPr>
      </w:pPr>
      <w:r w:rsidRPr="00A1623E">
        <w:rPr>
          <w:szCs w:val="22"/>
        </w:rPr>
        <w:t xml:space="preserve">In this </w:t>
      </w:r>
      <w:r w:rsidR="00A06780" w:rsidRPr="00A1623E">
        <w:rPr>
          <w:szCs w:val="22"/>
        </w:rPr>
        <w:t>contribution</w:t>
      </w:r>
      <w:r w:rsidRPr="00A1623E">
        <w:rPr>
          <w:szCs w:val="22"/>
        </w:rPr>
        <w:t xml:space="preserve">, we address </w:t>
      </w:r>
      <w:r w:rsidR="00A06780" w:rsidRPr="00A1623E">
        <w:rPr>
          <w:szCs w:val="22"/>
        </w:rPr>
        <w:t xml:space="preserve">issues </w:t>
      </w:r>
      <w:r w:rsidR="00A1623E">
        <w:t>for</w:t>
      </w:r>
      <w:r w:rsidRPr="00A1623E">
        <w:rPr>
          <w:szCs w:val="22"/>
        </w:rPr>
        <w:t xml:space="preserve"> </w:t>
      </w:r>
      <w:r w:rsidR="00A1623E" w:rsidRPr="00A1623E">
        <w:rPr>
          <w:szCs w:val="22"/>
        </w:rPr>
        <w:t xml:space="preserve">NTN scenario </w:t>
      </w:r>
      <w:r w:rsidR="00A1623E">
        <w:t xml:space="preserve">C2 </w:t>
      </w:r>
      <w:r w:rsidR="00A1623E" w:rsidRPr="00E76AF6">
        <w:t>(LEO - transparent - moving beams)</w:t>
      </w:r>
      <w:r w:rsidR="00A1623E">
        <w:t xml:space="preserve"> and </w:t>
      </w:r>
      <w:r w:rsidR="00A1623E" w:rsidRPr="00E76AF6">
        <w:t>D2 (LEO - regenerative - moving beams)</w:t>
      </w:r>
      <w:r w:rsidR="008D2612">
        <w:t>, with a special interest on</w:t>
      </w:r>
    </w:p>
    <w:p w14:paraId="119B0D44" w14:textId="3B726C78" w:rsidR="00370FF3" w:rsidRDefault="008F0C94" w:rsidP="00A43B24">
      <w:pPr>
        <w:pStyle w:val="ListParagraph"/>
        <w:numPr>
          <w:ilvl w:val="0"/>
          <w:numId w:val="2"/>
        </w:numPr>
      </w:pPr>
      <w:r>
        <w:t>R</w:t>
      </w:r>
      <w:r w:rsidR="00370FF3">
        <w:t>ain fade m</w:t>
      </w:r>
      <w:r w:rsidR="00370FF3" w:rsidRPr="00370FF3">
        <w:t>itigation</w:t>
      </w:r>
    </w:p>
    <w:p w14:paraId="418F8316" w14:textId="4C58D33F" w:rsidR="00445A29" w:rsidRDefault="00445A29" w:rsidP="00A43B24">
      <w:pPr>
        <w:pStyle w:val="ListParagraph"/>
        <w:numPr>
          <w:ilvl w:val="0"/>
          <w:numId w:val="2"/>
        </w:numPr>
      </w:pPr>
      <w:r w:rsidRPr="00445A29">
        <w:t>Intra-</w:t>
      </w:r>
      <w:r w:rsidR="008C6885">
        <w:t>satellite</w:t>
      </w:r>
      <w:r w:rsidRPr="00445A29">
        <w:t xml:space="preserve"> </w:t>
      </w:r>
      <w:r>
        <w:t>m</w:t>
      </w:r>
      <w:r w:rsidRPr="00445A29">
        <w:t>obility</w:t>
      </w:r>
    </w:p>
    <w:p w14:paraId="0A19B358" w14:textId="54C45AFB" w:rsidR="00B06705" w:rsidRDefault="00B06705" w:rsidP="00644835">
      <w:pPr>
        <w:pStyle w:val="Heading1"/>
        <w:snapToGrid w:val="0"/>
        <w:jc w:val="both"/>
      </w:pPr>
      <w:r>
        <w:t>Discussion</w:t>
      </w:r>
    </w:p>
    <w:p w14:paraId="473495A3" w14:textId="67976630" w:rsidR="00BF176B" w:rsidRPr="00BF176B" w:rsidRDefault="00BF176B" w:rsidP="00BF176B">
      <w:pPr>
        <w:pStyle w:val="Heading2"/>
      </w:pPr>
      <w:r w:rsidRPr="00BF176B">
        <w:t>Rain fade mitigation</w:t>
      </w:r>
    </w:p>
    <w:p w14:paraId="19160C2B" w14:textId="449821FE" w:rsidR="00A06780" w:rsidRDefault="001255FC" w:rsidP="00FE2728">
      <w:r>
        <w:rPr>
          <w:lang w:eastAsia="zh-TW"/>
        </w:rPr>
        <w:t>In</w:t>
      </w:r>
      <w:r w:rsidR="00FF52BD">
        <w:t xml:space="preserve"> Ka</w:t>
      </w:r>
      <w:r w:rsidR="00FA25E3">
        <w:t>-B</w:t>
      </w:r>
      <w:r w:rsidR="00FF52BD">
        <w:t xml:space="preserve">and, </w:t>
      </w:r>
      <w:r w:rsidR="00FE2728">
        <w:rPr>
          <w:lang w:eastAsia="zh-TW"/>
        </w:rPr>
        <w:t>satellite communications</w:t>
      </w:r>
      <w:r w:rsidR="00FE2728">
        <w:rPr>
          <w:rFonts w:hint="eastAsia"/>
          <w:lang w:eastAsia="zh-TW"/>
        </w:rPr>
        <w:t xml:space="preserve"> </w:t>
      </w:r>
      <w:r w:rsidR="00FE2728">
        <w:t>are</w:t>
      </w:r>
      <w:r w:rsidR="00FE2728">
        <w:rPr>
          <w:lang w:val="en-US"/>
        </w:rPr>
        <w:t xml:space="preserve"> </w:t>
      </w:r>
      <w:r w:rsidR="00FF52BD">
        <w:t xml:space="preserve">subject to rain attenuation, which </w:t>
      </w:r>
      <w:r w:rsidR="00FE2728">
        <w:t>is</w:t>
      </w:r>
      <w:r w:rsidR="00FF52BD">
        <w:t xml:space="preserve"> severe for significant time periods.</w:t>
      </w:r>
      <w:r w:rsidR="00FE2728">
        <w:t xml:space="preserve"> To overcome the attenuation, </w:t>
      </w:r>
      <w:r w:rsidR="00B46003">
        <w:t>adaptive modulation and coding (AMC) is one type of solutions,</w:t>
      </w:r>
      <w:r w:rsidR="00B2230B">
        <w:t xml:space="preserve"> </w:t>
      </w:r>
      <w:r w:rsidR="009D13CA">
        <w:t xml:space="preserve">which is </w:t>
      </w:r>
      <w:r w:rsidR="00B2230B">
        <w:t>well discussed among compa</w:t>
      </w:r>
      <w:r w:rsidR="00AA1DA2">
        <w:t>n</w:t>
      </w:r>
      <w:r w:rsidR="00B2230B">
        <w:t>ies</w:t>
      </w:r>
      <w:r w:rsidR="00F25712">
        <w:t xml:space="preserve"> in </w:t>
      </w:r>
      <w:r w:rsidR="009D13CA">
        <w:t xml:space="preserve">the </w:t>
      </w:r>
      <w:r w:rsidR="00F25712">
        <w:t>previous meetings</w:t>
      </w:r>
      <w:r w:rsidR="00AD23D4">
        <w:t>.</w:t>
      </w:r>
      <w:r w:rsidR="00B46003">
        <w:t xml:space="preserve"> </w:t>
      </w:r>
      <w:r w:rsidR="00AD23D4">
        <w:t>However,</w:t>
      </w:r>
      <w:r w:rsidR="00B2230B">
        <w:t xml:space="preserve"> </w:t>
      </w:r>
      <w:r w:rsidR="00FE2728">
        <w:t>p</w:t>
      </w:r>
      <w:r w:rsidR="00A65475">
        <w:t>ower restoral techniques</w:t>
      </w:r>
      <w:r w:rsidR="009614D3">
        <w:t xml:space="preserve"> </w:t>
      </w:r>
      <w:r w:rsidR="009614D3">
        <w:fldChar w:fldCharType="begin"/>
      </w:r>
      <w:r w:rsidR="009614D3">
        <w:instrText xml:space="preserve"> REF _Ref7438523 \r \h </w:instrText>
      </w:r>
      <w:r w:rsidR="009614D3">
        <w:fldChar w:fldCharType="separate"/>
      </w:r>
      <w:r w:rsidR="00B26F33">
        <w:t>[4]</w:t>
      </w:r>
      <w:r w:rsidR="009614D3">
        <w:fldChar w:fldCharType="end"/>
      </w:r>
      <w:r w:rsidR="009614D3">
        <w:t xml:space="preserve"> are </w:t>
      </w:r>
      <w:r w:rsidR="00B46003">
        <w:t>another</w:t>
      </w:r>
      <w:r w:rsidR="009614D3">
        <w:t xml:space="preserve"> type of solutions, that</w:t>
      </w:r>
      <w:r w:rsidR="00A65475">
        <w:t xml:space="preserve"> do not alter the basic signal format in the process of restoring the link</w:t>
      </w:r>
      <w:r w:rsidR="009614D3">
        <w:t xml:space="preserve"> but increase the signal power to “burn through” a</w:t>
      </w:r>
      <w:r w:rsidR="00B46003">
        <w:t>n</w:t>
      </w:r>
      <w:r w:rsidR="009614D3">
        <w:t xml:space="preserve"> attenuation event.</w:t>
      </w:r>
    </w:p>
    <w:p w14:paraId="6F91D246" w14:textId="753C4CF5" w:rsidR="00FE2728" w:rsidRDefault="00FE2728" w:rsidP="00FE2728">
      <w:r>
        <w:t xml:space="preserve">The received power density on a satellite downlink can be increased during path attenuation periods by switching to a satellite antenna with a narrower beamwidth. The narrower beamwidth, corresponding to </w:t>
      </w:r>
      <w:r>
        <w:lastRenderedPageBreak/>
        <w:t xml:space="preserve">a higher antenna gain, concentrates the power onto a smaller area on the earth’s surface, resulting in a higher </w:t>
      </w:r>
      <w:r w:rsidR="00A04F94">
        <w:rPr>
          <w:lang w:eastAsia="zh-TW"/>
        </w:rPr>
        <w:t>E</w:t>
      </w:r>
      <w:r w:rsidR="00A04F94" w:rsidRPr="00A04F94">
        <w:rPr>
          <w:lang w:eastAsia="zh-TW"/>
        </w:rPr>
        <w:t xml:space="preserve">ffective </w:t>
      </w:r>
      <w:r w:rsidR="00A04F94">
        <w:rPr>
          <w:lang w:eastAsia="zh-TW"/>
        </w:rPr>
        <w:t>I</w:t>
      </w:r>
      <w:r w:rsidR="00A04F94" w:rsidRPr="00A04F94">
        <w:rPr>
          <w:lang w:eastAsia="zh-TW"/>
        </w:rPr>
        <w:t>sotropically</w:t>
      </w:r>
      <w:r w:rsidR="00A04F94">
        <w:rPr>
          <w:lang w:eastAsia="zh-TW"/>
        </w:rPr>
        <w:t xml:space="preserve"> R</w:t>
      </w:r>
      <w:r w:rsidR="00A04F94" w:rsidRPr="00A04F94">
        <w:rPr>
          <w:lang w:eastAsia="zh-TW"/>
        </w:rPr>
        <w:t xml:space="preserve">adiated </w:t>
      </w:r>
      <w:r w:rsidR="00A04F94">
        <w:rPr>
          <w:lang w:eastAsia="zh-TW"/>
        </w:rPr>
        <w:t>P</w:t>
      </w:r>
      <w:r w:rsidR="00A04F94" w:rsidRPr="00A04F94">
        <w:rPr>
          <w:lang w:eastAsia="zh-TW"/>
        </w:rPr>
        <w:t xml:space="preserve">ower </w:t>
      </w:r>
      <w:r w:rsidR="00A04F94">
        <w:rPr>
          <w:lang w:eastAsia="zh-TW"/>
        </w:rPr>
        <w:t>(</w:t>
      </w:r>
      <w:r>
        <w:t>EIRP</w:t>
      </w:r>
      <w:r w:rsidR="00A04F94">
        <w:t>)</w:t>
      </w:r>
      <w:r>
        <w:t xml:space="preserve"> at the ground terminal </w:t>
      </w:r>
      <w:r w:rsidR="00A04F94">
        <w:t>during</w:t>
      </w:r>
      <w:r>
        <w:t xml:space="preserve"> the path attenuation</w:t>
      </w:r>
      <w:r w:rsidR="00BF176B">
        <w:t>.</w:t>
      </w:r>
    </w:p>
    <w:p w14:paraId="696E36D2" w14:textId="610FF561" w:rsidR="00BF176B" w:rsidRDefault="00BF176B" w:rsidP="00BF176B">
      <w:pPr>
        <w:rPr>
          <w:lang w:eastAsia="zh-TW"/>
        </w:rPr>
      </w:pPr>
      <w:r>
        <w:rPr>
          <w:lang w:eastAsia="zh-TW"/>
        </w:rPr>
        <w:t xml:space="preserve">Figure 1 shows coverage area contours (footprints) for four antenna beam diversity options, as viewed from a GEO satellite located over the United States. The 3-dB (half-power) beamwidth and on-axis gain (assuming 55% aperture efficiency) are shown with each contour. </w:t>
      </w:r>
      <w:r w:rsidRPr="00BF176B">
        <w:rPr>
          <w:lang w:eastAsia="zh-TW"/>
        </w:rPr>
        <w:t>The EIRP at the ground terminal can be very significant</w:t>
      </w:r>
      <w:r>
        <w:rPr>
          <w:lang w:eastAsia="zh-TW"/>
        </w:rPr>
        <w:t>. For example, the use of a metropolitan area spot beam antenna in place of a CONUS coverage antenna would provide 24.1 dB of additional EIRP.</w:t>
      </w:r>
    </w:p>
    <w:p w14:paraId="3ABF701A" w14:textId="733A01CD" w:rsidR="00FF52BD" w:rsidRDefault="009614D3" w:rsidP="009614D3">
      <w:pPr>
        <w:jc w:val="center"/>
        <w:rPr>
          <w:highlight w:val="cyan"/>
        </w:rPr>
      </w:pPr>
      <w:r w:rsidRPr="009614D3">
        <w:rPr>
          <w:noProof/>
          <w:highlight w:val="cyan"/>
        </w:rPr>
        <w:drawing>
          <wp:inline distT="0" distB="0" distL="0" distR="0" wp14:anchorId="1FD4E166" wp14:editId="24849187">
            <wp:extent cx="4692228" cy="2689804"/>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8">
                      <a:extLst>
                        <a:ext uri="{28A0092B-C50C-407E-A947-70E740481C1C}">
                          <a14:useLocalDpi xmlns:a14="http://schemas.microsoft.com/office/drawing/2010/main" val="0"/>
                        </a:ext>
                      </a:extLst>
                    </a:blip>
                    <a:srcRect b="12581"/>
                    <a:stretch/>
                  </pic:blipFill>
                  <pic:spPr bwMode="auto">
                    <a:xfrm>
                      <a:off x="0" y="0"/>
                      <a:ext cx="4694555" cy="2691138"/>
                    </a:xfrm>
                    <a:prstGeom prst="rect">
                      <a:avLst/>
                    </a:prstGeom>
                    <a:noFill/>
                    <a:ln>
                      <a:noFill/>
                    </a:ln>
                    <a:extLst>
                      <a:ext uri="{53640926-AAD7-44D8-BBD7-CCE9431645EC}">
                        <a14:shadowObscured xmlns:a14="http://schemas.microsoft.com/office/drawing/2010/main"/>
                      </a:ext>
                    </a:extLst>
                  </pic:spPr>
                </pic:pic>
              </a:graphicData>
            </a:graphic>
          </wp:inline>
        </w:drawing>
      </w:r>
    </w:p>
    <w:p w14:paraId="15E0B27E" w14:textId="2F2C3C8A" w:rsidR="00A06780" w:rsidRPr="009614D3" w:rsidRDefault="009614D3" w:rsidP="009614D3">
      <w:pPr>
        <w:jc w:val="center"/>
      </w:pPr>
      <w:r w:rsidRPr="009614D3">
        <w:t>Fig</w:t>
      </w:r>
      <w:r>
        <w:t xml:space="preserve">ure </w:t>
      </w:r>
      <w:r w:rsidRPr="009614D3">
        <w:t>1</w:t>
      </w:r>
      <w:r>
        <w:t xml:space="preserve">. </w:t>
      </w:r>
      <w:r w:rsidRPr="009614D3">
        <w:t xml:space="preserve"> </w:t>
      </w:r>
      <w:r>
        <w:t xml:space="preserve">Coverage area contours (footprints) for four antenna beam diversity options; source: </w:t>
      </w:r>
      <w:r>
        <w:fldChar w:fldCharType="begin"/>
      </w:r>
      <w:r>
        <w:instrText xml:space="preserve"> REF _Ref7438523 \r \h </w:instrText>
      </w:r>
      <w:r>
        <w:fldChar w:fldCharType="separate"/>
      </w:r>
      <w:r w:rsidR="00B26F33">
        <w:t>[4]</w:t>
      </w:r>
      <w:r>
        <w:fldChar w:fldCharType="end"/>
      </w:r>
    </w:p>
    <w:p w14:paraId="00F38E41" w14:textId="11942331" w:rsidR="009614D3" w:rsidRDefault="00836E59" w:rsidP="009614D3">
      <w:r>
        <w:t xml:space="preserve">For those </w:t>
      </w:r>
      <w:r w:rsidR="009614D3">
        <w:t>satellites that already have multiple antenna coverage antennas</w:t>
      </w:r>
      <w:r>
        <w:t>,</w:t>
      </w:r>
      <w:r w:rsidR="009614D3">
        <w:t xml:space="preserve"> </w:t>
      </w:r>
      <w:r>
        <w:t>it is possible to</w:t>
      </w:r>
      <w:r w:rsidR="009614D3">
        <w:t xml:space="preserve"> implement spot beam restoral with existing resources on the satellite. As an example, most INTELSAT vehicles</w:t>
      </w:r>
      <w:r w:rsidR="004D6280">
        <w:t xml:space="preserve"> </w:t>
      </w:r>
      <w:r w:rsidR="004D6280">
        <w:fldChar w:fldCharType="begin"/>
      </w:r>
      <w:r w:rsidR="004D6280">
        <w:instrText xml:space="preserve"> REF _Ref7443114 \r \h </w:instrText>
      </w:r>
      <w:r w:rsidR="004D6280">
        <w:fldChar w:fldCharType="separate"/>
      </w:r>
      <w:r w:rsidR="00B26F33">
        <w:t>[5]</w:t>
      </w:r>
      <w:r w:rsidR="004D6280">
        <w:fldChar w:fldCharType="end"/>
      </w:r>
      <w:r w:rsidR="009614D3">
        <w:t xml:space="preserve"> have hemispheric, regional, and metro area antennas available, with the ability to switch most users to each of the antenna systems as required.</w:t>
      </w:r>
    </w:p>
    <w:p w14:paraId="1A4A5A64" w14:textId="2BBCC606" w:rsidR="00836E59" w:rsidRDefault="00FA25E3" w:rsidP="00FA25E3">
      <w:pPr>
        <w:pStyle w:val="Observation"/>
      </w:pPr>
      <w:bookmarkStart w:id="0" w:name="_Toc7796840"/>
      <w:r>
        <w:t>In NTN, s</w:t>
      </w:r>
      <w:r w:rsidR="00836E59">
        <w:t xml:space="preserve">witching to </w:t>
      </w:r>
      <w:r w:rsidR="00836E59" w:rsidRPr="00836E59">
        <w:t>a satellite antenna with a narrower beamwidth</w:t>
      </w:r>
      <w:r>
        <w:t xml:space="preserve"> </w:t>
      </w:r>
      <w:r w:rsidR="00B46003">
        <w:t>is</w:t>
      </w:r>
      <w:r w:rsidR="00362BCF" w:rsidRPr="00362BCF">
        <w:t xml:space="preserve"> </w:t>
      </w:r>
      <w:r w:rsidR="00362BCF">
        <w:t>used</w:t>
      </w:r>
      <w:r w:rsidR="00362BCF" w:rsidRPr="00362BCF">
        <w:t xml:space="preserve"> </w:t>
      </w:r>
      <w:r w:rsidR="00B46003">
        <w:t>to</w:t>
      </w:r>
      <w:r>
        <w:t xml:space="preserve"> increase</w:t>
      </w:r>
      <w:r w:rsidR="00836E59">
        <w:t xml:space="preserve"> EIRP at the ground</w:t>
      </w:r>
      <w:r>
        <w:t xml:space="preserve"> </w:t>
      </w:r>
      <w:r w:rsidR="00836E59">
        <w:t xml:space="preserve">terminal </w:t>
      </w:r>
      <w:r w:rsidR="00B46003">
        <w:t>for</w:t>
      </w:r>
      <w:r>
        <w:t xml:space="preserve"> rain fade</w:t>
      </w:r>
      <w:r w:rsidR="007D598C">
        <w:t xml:space="preserve"> mitigation</w:t>
      </w:r>
      <w:r>
        <w:t>.</w:t>
      </w:r>
      <w:bookmarkEnd w:id="0"/>
    </w:p>
    <w:p w14:paraId="561E9FCA" w14:textId="7B16D335" w:rsidR="00FA25E3" w:rsidRDefault="00FB5F26" w:rsidP="005F5B9E">
      <w:r>
        <w:t xml:space="preserve">Note that </w:t>
      </w:r>
      <w:r w:rsidR="005F5B9E">
        <w:t>support of be</w:t>
      </w:r>
      <w:r w:rsidR="001255FC">
        <w:t>a</w:t>
      </w:r>
      <w:r w:rsidR="005F5B9E">
        <w:t xml:space="preserve">m diversity options </w:t>
      </w:r>
      <w:r w:rsidR="00444A3E">
        <w:t>may</w:t>
      </w:r>
      <w:r w:rsidR="005F5B9E">
        <w:t xml:space="preserve"> not have any specification impact</w:t>
      </w:r>
      <w:r w:rsidR="005B7F3C">
        <w:t xml:space="preserve"> since</w:t>
      </w:r>
      <w:r w:rsidR="005F5B9E">
        <w:t xml:space="preserve"> </w:t>
      </w:r>
      <w:r w:rsidR="005F5B9E" w:rsidRPr="005F5B9E">
        <w:t>RAN2</w:t>
      </w:r>
      <w:r w:rsidR="005F5B9E">
        <w:t xml:space="preserve"> has agreed that s</w:t>
      </w:r>
      <w:r w:rsidR="005F5B9E" w:rsidRPr="005F5B9E">
        <w:t>atellite beams, satellites or satellite cells are not considered to be visible from UE perspective.</w:t>
      </w:r>
    </w:p>
    <w:p w14:paraId="7C652911" w14:textId="0121833A" w:rsidR="00C52F31" w:rsidRDefault="00C52F31" w:rsidP="00C52F31">
      <w:pPr>
        <w:pStyle w:val="Observation"/>
      </w:pPr>
      <w:bookmarkStart w:id="1" w:name="_Toc7796841"/>
      <w:r>
        <w:t xml:space="preserve">In NTN SI, support of </w:t>
      </w:r>
      <w:r w:rsidR="00BC5EAD">
        <w:t>satellite beamwidth</w:t>
      </w:r>
      <w:r>
        <w:t xml:space="preserve"> switching has no specification impact.</w:t>
      </w:r>
      <w:bookmarkEnd w:id="1"/>
    </w:p>
    <w:p w14:paraId="7DB3FBD8" w14:textId="02097775" w:rsidR="00B26F33" w:rsidRDefault="00B26F33" w:rsidP="00B26F33">
      <w:r>
        <w:t>Based on these above observations, we then propose</w:t>
      </w:r>
    </w:p>
    <w:p w14:paraId="40387A47" w14:textId="05193F61" w:rsidR="00B26F33" w:rsidRDefault="00B26F33" w:rsidP="00B26F33">
      <w:pPr>
        <w:pStyle w:val="Proposal"/>
      </w:pPr>
      <w:bookmarkStart w:id="2" w:name="_Toc7796838"/>
      <w:r>
        <w:t xml:space="preserve">Support dynamic </w:t>
      </w:r>
      <w:r w:rsidRPr="00B26F33">
        <w:t>satellite</w:t>
      </w:r>
      <w:r w:rsidR="00272612">
        <w:t>-</w:t>
      </w:r>
      <w:r w:rsidRPr="00B26F33">
        <w:t>beamwidth</w:t>
      </w:r>
      <w:r w:rsidR="00272612">
        <w:t xml:space="preserve"> switching</w:t>
      </w:r>
      <w:r>
        <w:t xml:space="preserve"> for rain fade mitigation</w:t>
      </w:r>
      <w:r w:rsidR="00D76118">
        <w:t>.</w:t>
      </w:r>
      <w:bookmarkEnd w:id="2"/>
    </w:p>
    <w:p w14:paraId="4F64D82B" w14:textId="2479C4DC" w:rsidR="00DA6A25" w:rsidRDefault="00595E68" w:rsidP="00595E68">
      <w:pPr>
        <w:pStyle w:val="Heading2"/>
      </w:pPr>
      <w:r w:rsidRPr="00595E68">
        <w:t>Intra-satellite mobility</w:t>
      </w:r>
    </w:p>
    <w:p w14:paraId="1C002BC2" w14:textId="43EBE1C1" w:rsidR="00595E68" w:rsidRDefault="00595E68" w:rsidP="00A04F94">
      <w:r w:rsidRPr="005F5B9E">
        <w:t xml:space="preserve">However, </w:t>
      </w:r>
      <w:r w:rsidR="009D13CA">
        <w:t>the</w:t>
      </w:r>
      <w:r>
        <w:t xml:space="preserve"> support</w:t>
      </w:r>
      <w:r w:rsidR="009D13CA">
        <w:t xml:space="preserve"> of</w:t>
      </w:r>
      <w:r>
        <w:t xml:space="preserve"> adaptive </w:t>
      </w:r>
      <w:r w:rsidR="00BC5EAD">
        <w:t>satellite</w:t>
      </w:r>
      <w:r>
        <w:t xml:space="preserve"> </w:t>
      </w:r>
      <w:r w:rsidRPr="00595E68">
        <w:t>beamwidth</w:t>
      </w:r>
      <w:r>
        <w:t xml:space="preserve"> </w:t>
      </w:r>
      <w:r w:rsidR="00377537">
        <w:t>may</w:t>
      </w:r>
      <w:r>
        <w:t xml:space="preserve"> result </w:t>
      </w:r>
      <w:r w:rsidR="008F4541">
        <w:t xml:space="preserve">in a case of </w:t>
      </w:r>
      <w:r>
        <w:t>i</w:t>
      </w:r>
      <w:r w:rsidRPr="005F5B9E">
        <w:t>ntra-satellite</w:t>
      </w:r>
      <w:r>
        <w:t xml:space="preserve"> handover, i.e., spot beam</w:t>
      </w:r>
      <w:r w:rsidR="009D13CA">
        <w:t xml:space="preserve"> switching</w:t>
      </w:r>
      <w:r>
        <w:t xml:space="preserve"> under the same satellite operation. For </w:t>
      </w:r>
      <w:r w:rsidR="004E3848">
        <w:t>example, as shown</w:t>
      </w:r>
      <w:r>
        <w:t xml:space="preserve"> in Fig</w:t>
      </w:r>
      <w:r w:rsidR="00272612">
        <w:t>.</w:t>
      </w:r>
      <w:r>
        <w:t xml:space="preserve"> 2, </w:t>
      </w:r>
      <w:r w:rsidR="009D13CA">
        <w:t xml:space="preserve">the </w:t>
      </w:r>
      <w:r w:rsidR="00272612">
        <w:t xml:space="preserve">satellite </w:t>
      </w:r>
      <w:r>
        <w:t>switch</w:t>
      </w:r>
      <w:r w:rsidR="00272612">
        <w:t>es</w:t>
      </w:r>
      <w:r w:rsidRPr="00DA6A25">
        <w:t xml:space="preserve"> </w:t>
      </w:r>
      <w:r>
        <w:t>from the time zone</w:t>
      </w:r>
      <w:r w:rsidRPr="00DA6A25">
        <w:t xml:space="preserve"> beam</w:t>
      </w:r>
      <w:r>
        <w:t>s to the regional spot beams</w:t>
      </w:r>
      <w:r w:rsidR="00272612">
        <w:t>, that</w:t>
      </w:r>
      <w:r>
        <w:t xml:space="preserve"> </w:t>
      </w:r>
      <w:r w:rsidR="00B926CE">
        <w:t>may</w:t>
      </w:r>
      <w:r w:rsidR="00A04F94">
        <w:t xml:space="preserve"> increase EIRP at </w:t>
      </w:r>
      <w:r w:rsidR="00AA1DA2">
        <w:t xml:space="preserve">a </w:t>
      </w:r>
      <w:r w:rsidR="00A04F94">
        <w:t>ground user equipment</w:t>
      </w:r>
      <w:r w:rsidR="00B00928">
        <w:t xml:space="preserve"> (</w:t>
      </w:r>
      <w:r w:rsidR="00A04F94">
        <w:t>UE</w:t>
      </w:r>
      <w:r w:rsidR="00B00928">
        <w:t>)</w:t>
      </w:r>
      <w:r w:rsidR="00A04F94">
        <w:t>, but</w:t>
      </w:r>
      <w:r w:rsidR="00B926CE">
        <w:t xml:space="preserve"> </w:t>
      </w:r>
      <w:r w:rsidR="00A04F94">
        <w:t xml:space="preserve">also </w:t>
      </w:r>
      <w:r>
        <w:t xml:space="preserve">force </w:t>
      </w:r>
      <w:r w:rsidR="00A04F94">
        <w:t xml:space="preserve">the </w:t>
      </w:r>
      <w:r>
        <w:t>UE to perform intra-satellite handover.</w:t>
      </w:r>
    </w:p>
    <w:p w14:paraId="68DCFD4F" w14:textId="359EAEEB" w:rsidR="00DA6A25" w:rsidRDefault="008F4541" w:rsidP="00BC5EAD">
      <w:pPr>
        <w:jc w:val="center"/>
      </w:pPr>
      <w:r>
        <w:rPr>
          <w:noProof/>
        </w:rPr>
        <w:lastRenderedPageBreak/>
        <w:drawing>
          <wp:inline distT="0" distB="0" distL="0" distR="0" wp14:anchorId="23A9323B" wp14:editId="1A276EE1">
            <wp:extent cx="4315968" cy="2084832"/>
            <wp:effectExtent l="0" t="0" r="8890" b="0"/>
            <wp:docPr id="9" name="Picture 9" descr="A close up of a map&#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1.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4315968" cy="2084832"/>
                    </a:xfrm>
                    <a:prstGeom prst="rect">
                      <a:avLst/>
                    </a:prstGeom>
                  </pic:spPr>
                </pic:pic>
              </a:graphicData>
            </a:graphic>
          </wp:inline>
        </w:drawing>
      </w:r>
    </w:p>
    <w:p w14:paraId="01B1C93D" w14:textId="55CEDC27" w:rsidR="00DA6A25" w:rsidRPr="005F5B9E" w:rsidRDefault="00BC5EAD" w:rsidP="00BC5EAD">
      <w:pPr>
        <w:jc w:val="center"/>
      </w:pPr>
      <w:r>
        <w:t xml:space="preserve">Figure 2. </w:t>
      </w:r>
      <w:r w:rsidR="008F4541">
        <w:t>A</w:t>
      </w:r>
      <w:r>
        <w:t>n illustration of intra-satellite handover due to antenna beamwidth switching</w:t>
      </w:r>
    </w:p>
    <w:p w14:paraId="7C9982AA" w14:textId="1EBD4DC7" w:rsidR="001B4DAE" w:rsidRDefault="009D13CA" w:rsidP="005C11C5">
      <w:r>
        <w:t>The intra-satellite handover, b</w:t>
      </w:r>
      <w:r w:rsidR="00090CC3">
        <w:t>ased on</w:t>
      </w:r>
      <w:r w:rsidR="00ED71B9">
        <w:t xml:space="preserve"> </w:t>
      </w:r>
      <w:r w:rsidR="0046028C">
        <w:t>TR 38.821</w:t>
      </w:r>
      <w:r w:rsidR="00460688">
        <w:t xml:space="preserve"> </w:t>
      </w:r>
      <w:r w:rsidR="00460688">
        <w:fldChar w:fldCharType="begin"/>
      </w:r>
      <w:r w:rsidR="00460688">
        <w:instrText xml:space="preserve"> REF _Ref7540217 \r \h </w:instrText>
      </w:r>
      <w:r w:rsidR="00460688">
        <w:fldChar w:fldCharType="separate"/>
      </w:r>
      <w:r w:rsidR="00B26F33">
        <w:t>[6]</w:t>
      </w:r>
      <w:r w:rsidR="00460688">
        <w:fldChar w:fldCharType="end"/>
      </w:r>
      <w:r w:rsidR="00ED71B9">
        <w:t xml:space="preserve">, </w:t>
      </w:r>
      <w:r>
        <w:t xml:space="preserve">can be </w:t>
      </w:r>
      <w:r w:rsidR="00090CC3">
        <w:t>classif</w:t>
      </w:r>
      <w:r>
        <w:t>ied</w:t>
      </w:r>
      <w:r w:rsidR="00090CC3">
        <w:t xml:space="preserve"> </w:t>
      </w:r>
      <w:r w:rsidR="002A1292">
        <w:t xml:space="preserve">into </w:t>
      </w:r>
      <w:r w:rsidR="00A164FC">
        <w:t>the following cases</w:t>
      </w:r>
      <w:r w:rsidR="005C11C5">
        <w:t>:</w:t>
      </w:r>
    </w:p>
    <w:p w14:paraId="4BEA8DA4" w14:textId="7FC0284A" w:rsidR="007E1F66" w:rsidRDefault="007E1F66" w:rsidP="00A43B24">
      <w:pPr>
        <w:pStyle w:val="ListParagraph"/>
        <w:numPr>
          <w:ilvl w:val="0"/>
          <w:numId w:val="5"/>
        </w:numPr>
      </w:pPr>
      <w:r>
        <w:t>Case #1: Inter-</w:t>
      </w:r>
      <w:proofErr w:type="spellStart"/>
      <w:r>
        <w:t>gNB</w:t>
      </w:r>
      <w:proofErr w:type="spellEnd"/>
      <w:r>
        <w:t xml:space="preserve"> handover for NTN scenario C2 </w:t>
      </w:r>
      <w:r w:rsidRPr="00E76AF6">
        <w:t>(LEO - transparent - moving beams)</w:t>
      </w:r>
    </w:p>
    <w:p w14:paraId="3FBE3409" w14:textId="2778DBE3" w:rsidR="00ED71B9" w:rsidRDefault="007E1F66" w:rsidP="00A43B24">
      <w:pPr>
        <w:pStyle w:val="ListParagraph"/>
        <w:numPr>
          <w:ilvl w:val="0"/>
          <w:numId w:val="5"/>
        </w:numPr>
      </w:pPr>
      <w:r>
        <w:t xml:space="preserve">Case #2: </w:t>
      </w:r>
      <w:r w:rsidR="00E76AF6">
        <w:t>Intra-</w:t>
      </w:r>
      <w:proofErr w:type="spellStart"/>
      <w:r w:rsidR="00E76AF6">
        <w:t>gNB</w:t>
      </w:r>
      <w:proofErr w:type="spellEnd"/>
      <w:r w:rsidR="00E76AF6">
        <w:t xml:space="preserve"> handover for NTN s</w:t>
      </w:r>
      <w:r w:rsidR="00AA1DA2">
        <w:t>c</w:t>
      </w:r>
      <w:r w:rsidR="00E76AF6">
        <w:t>enario</w:t>
      </w:r>
      <w:r w:rsidR="00E76AF6" w:rsidRPr="00E76AF6">
        <w:t xml:space="preserve"> </w:t>
      </w:r>
      <w:r>
        <w:t xml:space="preserve">C2 and </w:t>
      </w:r>
      <w:r w:rsidR="00E76AF6" w:rsidRPr="00E76AF6">
        <w:t>D2 (LEO - regenerative - moving beams)</w:t>
      </w:r>
    </w:p>
    <w:p w14:paraId="7E9807B8" w14:textId="77777777" w:rsidR="007E1F66" w:rsidRDefault="007E1F66" w:rsidP="00A43B24">
      <w:pPr>
        <w:pStyle w:val="ListParagraph"/>
        <w:numPr>
          <w:ilvl w:val="1"/>
          <w:numId w:val="5"/>
        </w:numPr>
      </w:pPr>
      <w:r>
        <w:t xml:space="preserve">Option A, </w:t>
      </w:r>
      <w:r w:rsidRPr="0003330B">
        <w:t>same PCI for several satellite beams</w:t>
      </w:r>
    </w:p>
    <w:p w14:paraId="296D2B9C" w14:textId="771626EC" w:rsidR="007E1F66" w:rsidRDefault="007E1F66" w:rsidP="00A43B24">
      <w:pPr>
        <w:pStyle w:val="ListParagraph"/>
        <w:numPr>
          <w:ilvl w:val="2"/>
          <w:numId w:val="5"/>
        </w:numPr>
      </w:pPr>
      <w:r>
        <w:t xml:space="preserve">Case #2-1: </w:t>
      </w:r>
      <w:r w:rsidRPr="00A164FC">
        <w:t>Intra-cell</w:t>
      </w:r>
      <w:r>
        <w:t xml:space="preserve"> </w:t>
      </w:r>
      <w:r w:rsidR="00A5352C">
        <w:t>mobility (</w:t>
      </w:r>
      <w:r w:rsidR="004A0649">
        <w:t xml:space="preserve">beam </w:t>
      </w:r>
      <w:r w:rsidR="00D76118">
        <w:t>management</w:t>
      </w:r>
      <w:r w:rsidR="00A5352C">
        <w:t>)</w:t>
      </w:r>
    </w:p>
    <w:p w14:paraId="5C2ECC9F" w14:textId="46F4FC31" w:rsidR="007E1F66" w:rsidRDefault="007E1F66" w:rsidP="00A43B24">
      <w:pPr>
        <w:pStyle w:val="ListParagraph"/>
        <w:numPr>
          <w:ilvl w:val="2"/>
          <w:numId w:val="5"/>
        </w:numPr>
      </w:pPr>
      <w:r>
        <w:t>Case #2-2: Inter</w:t>
      </w:r>
      <w:r w:rsidRPr="00A164FC">
        <w:t>-cell</w:t>
      </w:r>
      <w:r>
        <w:t xml:space="preserve"> handover</w:t>
      </w:r>
    </w:p>
    <w:p w14:paraId="0A6CDE82" w14:textId="77777777" w:rsidR="007E1F66" w:rsidRDefault="007E1F66" w:rsidP="00A43B24">
      <w:pPr>
        <w:pStyle w:val="ListParagraph"/>
        <w:numPr>
          <w:ilvl w:val="1"/>
          <w:numId w:val="5"/>
        </w:numPr>
      </w:pPr>
      <w:r>
        <w:t xml:space="preserve">Option B, </w:t>
      </w:r>
      <w:r w:rsidRPr="0003330B">
        <w:t>one PCI per satellite beam</w:t>
      </w:r>
    </w:p>
    <w:p w14:paraId="0DA0E68A" w14:textId="0A4F20EF" w:rsidR="007E1F66" w:rsidRDefault="007E1F66" w:rsidP="005B682D">
      <w:pPr>
        <w:pStyle w:val="ListParagraph"/>
        <w:numPr>
          <w:ilvl w:val="2"/>
          <w:numId w:val="5"/>
        </w:numPr>
      </w:pPr>
      <w:bookmarkStart w:id="3" w:name="_GoBack"/>
      <w:bookmarkEnd w:id="3"/>
      <w:r>
        <w:t>Case #2-3: Inter-cell handover</w:t>
      </w:r>
    </w:p>
    <w:p w14:paraId="37D95B24" w14:textId="3C5014B5" w:rsidR="000E27E3" w:rsidRDefault="005B3BEC" w:rsidP="007E1F66">
      <w:r>
        <w:t xml:space="preserve">Among </w:t>
      </w:r>
      <w:r w:rsidR="00EC3B08">
        <w:t>all</w:t>
      </w:r>
      <w:r>
        <w:t xml:space="preserve"> cases, </w:t>
      </w:r>
      <w:r w:rsidR="00A1623E">
        <w:t>f</w:t>
      </w:r>
      <w:r w:rsidR="00A1623E" w:rsidRPr="00A1623E">
        <w:t>or</w:t>
      </w:r>
      <w:r w:rsidR="000E27E3">
        <w:t xml:space="preserve"> </w:t>
      </w:r>
      <w:r w:rsidR="00A1623E" w:rsidRPr="00A1623E">
        <w:t>transparent satellite</w:t>
      </w:r>
      <w:r w:rsidR="00EC3B08">
        <w:t>s</w:t>
      </w:r>
      <w:r w:rsidR="00A1623E" w:rsidRPr="00A1623E">
        <w:t xml:space="preserve">, even with </w:t>
      </w:r>
      <w:r w:rsidR="00AA1DA2">
        <w:t xml:space="preserve">the </w:t>
      </w:r>
      <w:r w:rsidR="00A1623E" w:rsidRPr="00A1623E">
        <w:t xml:space="preserve">intra-satellite handover, the same satellite can also connect to different </w:t>
      </w:r>
      <w:proofErr w:type="spellStart"/>
      <w:r w:rsidR="00A1623E" w:rsidRPr="00A1623E">
        <w:t>gNBs</w:t>
      </w:r>
      <w:proofErr w:type="spellEnd"/>
      <w:r w:rsidR="00A1623E" w:rsidRPr="00A1623E">
        <w:t xml:space="preserve"> on </w:t>
      </w:r>
      <w:r w:rsidR="00AA1DA2">
        <w:t xml:space="preserve">the </w:t>
      </w:r>
      <w:r w:rsidR="00A1623E" w:rsidRPr="00A1623E">
        <w:t>ground, so that inter-</w:t>
      </w:r>
      <w:proofErr w:type="spellStart"/>
      <w:r w:rsidR="00A1623E" w:rsidRPr="00A1623E">
        <w:t>gNB</w:t>
      </w:r>
      <w:proofErr w:type="spellEnd"/>
      <w:r w:rsidR="00A1623E" w:rsidRPr="00A1623E">
        <w:t xml:space="preserve"> </w:t>
      </w:r>
      <w:r w:rsidR="00B577F7">
        <w:t>handover</w:t>
      </w:r>
      <w:r w:rsidR="00A1623E" w:rsidRPr="00A1623E">
        <w:t xml:space="preserve"> procedure </w:t>
      </w:r>
      <w:r w:rsidR="00EC3B08">
        <w:t>may</w:t>
      </w:r>
      <w:r w:rsidR="00A1623E" w:rsidRPr="00A1623E">
        <w:t xml:space="preserve"> be triggered</w:t>
      </w:r>
      <w:r w:rsidR="00D76118">
        <w:t xml:space="preserve"> </w:t>
      </w:r>
      <w:r w:rsidR="00D76118">
        <w:fldChar w:fldCharType="begin"/>
      </w:r>
      <w:r w:rsidR="00D76118">
        <w:instrText xml:space="preserve"> REF _Ref7708614 \r \h </w:instrText>
      </w:r>
      <w:r w:rsidR="00D76118">
        <w:fldChar w:fldCharType="separate"/>
      </w:r>
      <w:r w:rsidR="00D76118">
        <w:t>[8]</w:t>
      </w:r>
      <w:r w:rsidR="00D76118">
        <w:fldChar w:fldCharType="end"/>
      </w:r>
      <w:r w:rsidR="00A1623E" w:rsidRPr="00A1623E">
        <w:t>.</w:t>
      </w:r>
      <w:r w:rsidR="000E27E3">
        <w:t xml:space="preserve"> For regenerative satellite</w:t>
      </w:r>
      <w:r w:rsidR="00EC3B08">
        <w:t>s</w:t>
      </w:r>
      <w:r w:rsidR="000E27E3">
        <w:t xml:space="preserve">, even </w:t>
      </w:r>
      <w:r w:rsidR="003A0843">
        <w:t>with</w:t>
      </w:r>
      <w:r w:rsidR="000E27E3">
        <w:t xml:space="preserve"> intra-</w:t>
      </w:r>
      <w:proofErr w:type="spellStart"/>
      <w:r w:rsidR="000E27E3">
        <w:t>gNB</w:t>
      </w:r>
      <w:proofErr w:type="spellEnd"/>
      <w:r w:rsidR="000E27E3">
        <w:t xml:space="preserve"> handover, </w:t>
      </w:r>
      <w:r w:rsidR="003A0843">
        <w:t>that could be</w:t>
      </w:r>
      <w:r w:rsidR="00EC3B08">
        <w:t xml:space="preserve"> </w:t>
      </w:r>
      <w:r w:rsidR="003A0843">
        <w:t>inter-cell</w:t>
      </w:r>
      <w:r w:rsidR="00EC3B08">
        <w:t xml:space="preserve"> handover or intra-cell mobility</w:t>
      </w:r>
      <w:r w:rsidR="003A0843">
        <w:t xml:space="preserve">, </w:t>
      </w:r>
      <w:r w:rsidR="00EC3B08">
        <w:t xml:space="preserve">that </w:t>
      </w:r>
      <w:r w:rsidR="003A0843">
        <w:t>depend</w:t>
      </w:r>
      <w:r w:rsidR="00EC3B08">
        <w:t>s</w:t>
      </w:r>
      <w:r w:rsidR="003A0843">
        <w:t xml:space="preserve"> on the </w:t>
      </w:r>
      <w:r w:rsidR="003A0843" w:rsidRPr="003A0843">
        <w:t xml:space="preserve">association between satellite beams and NR </w:t>
      </w:r>
      <w:r w:rsidR="003A0843">
        <w:t>cells</w:t>
      </w:r>
      <w:r w:rsidR="00803236">
        <w:t xml:space="preserve">, i.e., </w:t>
      </w:r>
      <w:r w:rsidR="00196E45">
        <w:t>O</w:t>
      </w:r>
      <w:r w:rsidR="00803236">
        <w:t>ption A and B above.</w:t>
      </w:r>
    </w:p>
    <w:p w14:paraId="75C48D87" w14:textId="641D40B1" w:rsidR="00A84468" w:rsidRDefault="00A84468" w:rsidP="007E1F66">
      <w:r>
        <w:t>In Rel-15 NR, for handover i</w:t>
      </w:r>
      <w:r w:rsidRPr="00A84468">
        <w:t>n a connected state, the device does not make any decisions of its own when it comes to handover to a different cell. Rather, based on different triggering conditions, for example, the relative power of a measured SS block compared to the current cell, the device reports the result of the measurements to the network. Based on this reporting the network decides as to whether the device is to handover to a new cell. This reporting is done using RRC signalling</w:t>
      </w:r>
      <w:r w:rsidR="006B14E1">
        <w:t xml:space="preserve">, </w:t>
      </w:r>
      <w:r w:rsidR="00A1623E">
        <w:t>not</w:t>
      </w:r>
      <w:r w:rsidR="006B14E1" w:rsidRPr="006B14E1">
        <w:t xml:space="preserve"> covered by the Layer-1</w:t>
      </w:r>
      <w:r w:rsidR="005225DB">
        <w:t xml:space="preserve"> </w:t>
      </w:r>
      <w:r w:rsidR="005225DB">
        <w:fldChar w:fldCharType="begin"/>
      </w:r>
      <w:r w:rsidR="005225DB">
        <w:instrText xml:space="preserve"> REF _Ref7705489 \r \h </w:instrText>
      </w:r>
      <w:r w:rsidR="005225DB">
        <w:fldChar w:fldCharType="separate"/>
      </w:r>
      <w:r w:rsidR="00B26F33">
        <w:t>[7]</w:t>
      </w:r>
      <w:r w:rsidR="005225DB">
        <w:fldChar w:fldCharType="end"/>
      </w:r>
      <w:r w:rsidR="00A1623E">
        <w:t>.</w:t>
      </w:r>
    </w:p>
    <w:p w14:paraId="487909A6" w14:textId="5E893BD2" w:rsidR="005225DB" w:rsidRDefault="005225DB" w:rsidP="005225DB">
      <w:r>
        <w:t xml:space="preserve">As a result, among </w:t>
      </w:r>
      <w:r w:rsidR="00EC3B08">
        <w:t>all</w:t>
      </w:r>
      <w:r w:rsidR="00D76118">
        <w:t xml:space="preserve"> cases</w:t>
      </w:r>
      <w:r>
        <w:t xml:space="preserve">, only case #2-1 </w:t>
      </w:r>
      <w:r w:rsidR="00EC3B08">
        <w:t>can</w:t>
      </w:r>
      <w:r w:rsidR="00D76118">
        <w:t xml:space="preserve"> be</w:t>
      </w:r>
      <w:r>
        <w:t xml:space="preserve"> covered by the </w:t>
      </w:r>
      <w:r w:rsidR="009D13CA">
        <w:t>Layer-1 signalling</w:t>
      </w:r>
      <w:r>
        <w:t xml:space="preserve">. The rest of cases </w:t>
      </w:r>
      <w:r w:rsidR="00D76118">
        <w:t xml:space="preserve">may </w:t>
      </w:r>
      <w:r>
        <w:t>need to be covered by higher layers</w:t>
      </w:r>
      <w:r w:rsidR="005B3BEC">
        <w:t xml:space="preserve"> using RRC signalling, which may not be efficient in NTN scenarios.</w:t>
      </w:r>
    </w:p>
    <w:p w14:paraId="33ABF5CE" w14:textId="4DEA8907" w:rsidR="00A84468" w:rsidRDefault="00DC336B" w:rsidP="00D54EBB">
      <w:pPr>
        <w:pStyle w:val="Observation"/>
      </w:pPr>
      <w:bookmarkStart w:id="4" w:name="_Toc7796842"/>
      <w:r>
        <w:t xml:space="preserve">Satellite beam switching, even </w:t>
      </w:r>
      <w:r w:rsidR="00225128" w:rsidRPr="00225128">
        <w:t>within the same satellite</w:t>
      </w:r>
      <w:r w:rsidR="00225128">
        <w:t xml:space="preserve">, </w:t>
      </w:r>
      <w:r>
        <w:t>may require RRC signalling in most of the cases, which may not be efficient in NTN, regarding the propagation delay.</w:t>
      </w:r>
      <w:bookmarkEnd w:id="4"/>
    </w:p>
    <w:p w14:paraId="06BCBDF3" w14:textId="01B27449" w:rsidR="00B12B17" w:rsidRDefault="00405441" w:rsidP="005B3BEC">
      <w:r>
        <w:t xml:space="preserve">The case #2-1 </w:t>
      </w:r>
      <w:r w:rsidR="00B12B17">
        <w:t xml:space="preserve">can be </w:t>
      </w:r>
      <w:r w:rsidR="005B3BEC">
        <w:t>handled</w:t>
      </w:r>
      <w:r w:rsidR="00B12B17">
        <w:t xml:space="preserve"> </w:t>
      </w:r>
      <w:r w:rsidR="005B3BEC">
        <w:t>by</w:t>
      </w:r>
      <w:r w:rsidR="00B12B17">
        <w:t xml:space="preserve"> </w:t>
      </w:r>
      <w:r w:rsidR="00B74A82" w:rsidRPr="00B74A82">
        <w:t>Beam Level Mobility</w:t>
      </w:r>
      <w:r w:rsidR="005B3BEC">
        <w:t xml:space="preserve">, e.g., beam management, </w:t>
      </w:r>
      <w:r w:rsidR="00B12B17">
        <w:t>in Rel-15 NR</w:t>
      </w:r>
      <w:r>
        <w:t>, that</w:t>
      </w:r>
      <w:r w:rsidR="00B74A82" w:rsidRPr="00B74A82">
        <w:t xml:space="preserve"> does not require explicit RRC signalling to be triggered</w:t>
      </w:r>
      <w:r>
        <w:t>.</w:t>
      </w:r>
      <w:r w:rsidR="00B74A82" w:rsidRPr="00B74A82">
        <w:t xml:space="preserve"> </w:t>
      </w:r>
      <w:r>
        <w:t xml:space="preserve">That means, </w:t>
      </w:r>
      <w:r w:rsidR="00B74A82" w:rsidRPr="00B74A82">
        <w:t>it is dealt with at lower layers and RRC is not required to know which beam is being used at a given point in time</w:t>
      </w:r>
      <w:r w:rsidR="00EC3B08">
        <w:t>, which may be beneficial to NTN.</w:t>
      </w:r>
    </w:p>
    <w:p w14:paraId="59544B83" w14:textId="71E62246" w:rsidR="009660A4" w:rsidRDefault="009660A4" w:rsidP="009660A4">
      <w:pPr>
        <w:pStyle w:val="Proposal"/>
      </w:pPr>
      <w:bookmarkStart w:id="5" w:name="_Toc7796839"/>
      <w:r>
        <w:t>Reuse the beam management framework of Rel-15 NR for I</w:t>
      </w:r>
      <w:r w:rsidRPr="009660A4">
        <w:t>ntra-</w:t>
      </w:r>
      <w:r>
        <w:t>C</w:t>
      </w:r>
      <w:r w:rsidRPr="009660A4">
        <w:t>ell mobility</w:t>
      </w:r>
      <w:r>
        <w:t xml:space="preserve"> in NTN.</w:t>
      </w:r>
      <w:bookmarkEnd w:id="5"/>
    </w:p>
    <w:p w14:paraId="740066FA" w14:textId="3532A22F" w:rsidR="00AB707C" w:rsidRDefault="00405441" w:rsidP="00DC336B">
      <w:r>
        <w:t>However</w:t>
      </w:r>
      <w:r w:rsidR="00437745">
        <w:t xml:space="preserve">, for </w:t>
      </w:r>
      <w:r>
        <w:t xml:space="preserve">the </w:t>
      </w:r>
      <w:r w:rsidR="00437745">
        <w:t>c</w:t>
      </w:r>
      <w:r w:rsidR="00437745" w:rsidRPr="00437745">
        <w:rPr>
          <w:rFonts w:hint="eastAsia"/>
        </w:rPr>
        <w:t>ase #2-1</w:t>
      </w:r>
      <w:r w:rsidR="00437745">
        <w:t xml:space="preserve">, it is unclear </w:t>
      </w:r>
      <w:r w:rsidR="00F96E93">
        <w:t>whether</w:t>
      </w:r>
      <w:r w:rsidR="00437745">
        <w:t xml:space="preserve"> </w:t>
      </w:r>
      <w:bookmarkStart w:id="6" w:name="_Hlk7712067"/>
      <w:r w:rsidR="00184BB8" w:rsidRPr="00184BB8">
        <w:t>N-factor frequency reuse pattern (e.g., 4-color frequency reuse)</w:t>
      </w:r>
      <w:r w:rsidR="00184BB8">
        <w:t xml:space="preserve"> for </w:t>
      </w:r>
      <w:r w:rsidR="00196E45">
        <w:t>O</w:t>
      </w:r>
      <w:r w:rsidR="00184BB8" w:rsidRPr="00184BB8">
        <w:t>ption A</w:t>
      </w:r>
      <w:r w:rsidR="00196E45">
        <w:t xml:space="preserve"> (the </w:t>
      </w:r>
      <w:r w:rsidR="00184BB8" w:rsidRPr="00184BB8">
        <w:t>same PCI for several satellite beams</w:t>
      </w:r>
      <w:r w:rsidR="00196E45">
        <w:t>)</w:t>
      </w:r>
      <w:bookmarkEnd w:id="6"/>
      <w:r w:rsidR="00F96E93">
        <w:t xml:space="preserve"> is supported</w:t>
      </w:r>
      <w:r w:rsidR="00184BB8" w:rsidRPr="00184BB8">
        <w:t>.</w:t>
      </w:r>
      <w:r w:rsidR="006B76D5">
        <w:t xml:space="preserve"> If supported, </w:t>
      </w:r>
      <w:r w:rsidR="009660A4">
        <w:t xml:space="preserve">i.e., each satellite beam </w:t>
      </w:r>
      <w:r w:rsidR="009D13CA">
        <w:t xml:space="preserve">may </w:t>
      </w:r>
      <w:r w:rsidR="009660A4">
        <w:t>ha</w:t>
      </w:r>
      <w:r w:rsidR="009D13CA">
        <w:t>ve</w:t>
      </w:r>
      <w:r w:rsidR="009660A4">
        <w:t xml:space="preserve"> its own </w:t>
      </w:r>
      <w:r w:rsidR="009D13CA">
        <w:t>carrier/</w:t>
      </w:r>
      <w:r w:rsidR="009660A4">
        <w:t xml:space="preserve">frequency, then the </w:t>
      </w:r>
      <w:r w:rsidR="006B76D5">
        <w:t>beam management framework</w:t>
      </w:r>
      <w:r w:rsidR="009660A4">
        <w:t xml:space="preserve"> in Rel-15 NR</w:t>
      </w:r>
      <w:r w:rsidR="006B76D5">
        <w:t xml:space="preserve"> </w:t>
      </w:r>
      <w:r w:rsidR="009660A4">
        <w:t>may</w:t>
      </w:r>
      <w:r w:rsidR="006B76D5">
        <w:t xml:space="preserve"> need </w:t>
      </w:r>
      <w:r w:rsidR="009660A4">
        <w:t>a</w:t>
      </w:r>
      <w:r w:rsidR="006B76D5">
        <w:t xml:space="preserve"> modifi</w:t>
      </w:r>
      <w:r w:rsidR="009660A4">
        <w:t>cation</w:t>
      </w:r>
      <w:r w:rsidR="006B76D5">
        <w:t xml:space="preserve"> </w:t>
      </w:r>
      <w:r w:rsidR="009660A4">
        <w:t xml:space="preserve">to achieve </w:t>
      </w:r>
      <w:r w:rsidR="006B76D5">
        <w:t xml:space="preserve">cross-carrier/cross-frequency beam switching. </w:t>
      </w:r>
    </w:p>
    <w:p w14:paraId="2E0EC2D5" w14:textId="77777777" w:rsidR="009660A4" w:rsidRDefault="00405441" w:rsidP="00F83AE5">
      <w:pPr>
        <w:pStyle w:val="Observation"/>
      </w:pPr>
      <w:bookmarkStart w:id="7" w:name="_Toc7796843"/>
      <w:r>
        <w:lastRenderedPageBreak/>
        <w:t xml:space="preserve">For Option A (the </w:t>
      </w:r>
      <w:r w:rsidRPr="00184BB8">
        <w:t>same PCI for several satellite beams</w:t>
      </w:r>
      <w:r>
        <w:t xml:space="preserve">), it is unclear </w:t>
      </w:r>
      <w:r w:rsidR="00B12B17">
        <w:t xml:space="preserve">whether </w:t>
      </w:r>
      <w:r w:rsidR="009660A4">
        <w:t xml:space="preserve">the </w:t>
      </w:r>
      <w:r>
        <w:t>N-factor frequency reuse pattern</w:t>
      </w:r>
      <w:r w:rsidR="00BB0155">
        <w:t xml:space="preserve"> on satellite beams</w:t>
      </w:r>
      <w:r w:rsidR="00B12B17">
        <w:t xml:space="preserve"> is supported</w:t>
      </w:r>
      <w:r w:rsidR="00BB0155">
        <w:t>.</w:t>
      </w:r>
      <w:bookmarkEnd w:id="7"/>
      <w:r w:rsidR="006B76D5">
        <w:t xml:space="preserve"> </w:t>
      </w:r>
    </w:p>
    <w:p w14:paraId="740C7665" w14:textId="6F088BB1" w:rsidR="00AB707C" w:rsidRDefault="006B76D5" w:rsidP="00F83AE5">
      <w:r>
        <w:t>Note that i</w:t>
      </w:r>
      <w:r w:rsidRPr="006B76D5">
        <w:t xml:space="preserve">f we follow Rel-15 NR spec, satellite beams that share the same PCI </w:t>
      </w:r>
      <w:r>
        <w:t>shall</w:t>
      </w:r>
      <w:r w:rsidRPr="006B76D5">
        <w:t xml:space="preserve"> be operated in the same frequency.</w:t>
      </w:r>
    </w:p>
    <w:p w14:paraId="42044CA2" w14:textId="77777777" w:rsidR="00E65ED1" w:rsidRDefault="00A558B4" w:rsidP="00644835">
      <w:pPr>
        <w:pStyle w:val="Heading1"/>
        <w:snapToGrid w:val="0"/>
        <w:jc w:val="both"/>
      </w:pPr>
      <w:r>
        <w:t>Conclusion</w:t>
      </w:r>
    </w:p>
    <w:p w14:paraId="39FCCA54" w14:textId="77777777" w:rsidR="00E6785D" w:rsidRDefault="00E6785D">
      <w:pPr>
        <w:snapToGrid w:val="0"/>
      </w:pPr>
      <w:r>
        <w:t>In this contribution, we have the following observations</w:t>
      </w:r>
      <w:r w:rsidR="00277ED8">
        <w:t xml:space="preserve"> and proposals</w:t>
      </w:r>
      <w:r w:rsidR="00BC0ACC">
        <w:t>.</w:t>
      </w:r>
    </w:p>
    <w:p w14:paraId="13A01559" w14:textId="4B0DE3D9" w:rsidR="005F757D" w:rsidRDefault="000B5758">
      <w:pPr>
        <w:pStyle w:val="TOC1"/>
        <w:rPr>
          <w:rFonts w:eastAsiaTheme="minorEastAsia" w:cstheme="minorBidi"/>
          <w:b w:val="0"/>
          <w:szCs w:val="22"/>
          <w:lang w:eastAsia="zh-TW"/>
        </w:rPr>
      </w:pPr>
      <w:r w:rsidRPr="000B5758">
        <w:fldChar w:fldCharType="begin"/>
      </w:r>
      <w:r w:rsidRPr="000B5758">
        <w:instrText xml:space="preserve"> TOC \n \h \z \t "Observation,1" </w:instrText>
      </w:r>
      <w:r w:rsidRPr="000B5758">
        <w:fldChar w:fldCharType="separate"/>
      </w:r>
      <w:hyperlink w:anchor="_Toc7796840" w:history="1">
        <w:r w:rsidR="005F757D" w:rsidRPr="00746BE6">
          <w:rPr>
            <w:rStyle w:val="Hyperlink"/>
          </w:rPr>
          <w:t>Observation 1</w:t>
        </w:r>
        <w:r w:rsidR="005F757D">
          <w:rPr>
            <w:rFonts w:eastAsiaTheme="minorEastAsia" w:cstheme="minorBidi"/>
            <w:b w:val="0"/>
            <w:szCs w:val="22"/>
            <w:lang w:eastAsia="zh-TW"/>
          </w:rPr>
          <w:tab/>
        </w:r>
        <w:r w:rsidR="005F757D" w:rsidRPr="00746BE6">
          <w:rPr>
            <w:rStyle w:val="Hyperlink"/>
          </w:rPr>
          <w:t>In NTN, switching to a satellite antenna with a narrower beamwidth is used to increase EIRP at the ground terminal for rain fade mitigation.</w:t>
        </w:r>
      </w:hyperlink>
    </w:p>
    <w:p w14:paraId="7F5FC0FC" w14:textId="424A96B3" w:rsidR="005F757D" w:rsidRDefault="005F757D">
      <w:pPr>
        <w:pStyle w:val="TOC1"/>
        <w:rPr>
          <w:rFonts w:eastAsiaTheme="minorEastAsia" w:cstheme="minorBidi"/>
          <w:b w:val="0"/>
          <w:szCs w:val="22"/>
          <w:lang w:eastAsia="zh-TW"/>
        </w:rPr>
      </w:pPr>
      <w:hyperlink w:anchor="_Toc7796841" w:history="1">
        <w:r w:rsidRPr="00746BE6">
          <w:rPr>
            <w:rStyle w:val="Hyperlink"/>
          </w:rPr>
          <w:t>Observation 2</w:t>
        </w:r>
        <w:r>
          <w:rPr>
            <w:rFonts w:eastAsiaTheme="minorEastAsia" w:cstheme="minorBidi"/>
            <w:b w:val="0"/>
            <w:szCs w:val="22"/>
            <w:lang w:eastAsia="zh-TW"/>
          </w:rPr>
          <w:tab/>
        </w:r>
        <w:r w:rsidRPr="00746BE6">
          <w:rPr>
            <w:rStyle w:val="Hyperlink"/>
          </w:rPr>
          <w:t>In NTN SI, support of satellite beamwidth switching has no specification impact.</w:t>
        </w:r>
      </w:hyperlink>
    </w:p>
    <w:p w14:paraId="177B7298" w14:textId="63229BAE" w:rsidR="005F757D" w:rsidRDefault="005F757D">
      <w:pPr>
        <w:pStyle w:val="TOC1"/>
        <w:rPr>
          <w:rFonts w:eastAsiaTheme="minorEastAsia" w:cstheme="minorBidi"/>
          <w:b w:val="0"/>
          <w:szCs w:val="22"/>
          <w:lang w:eastAsia="zh-TW"/>
        </w:rPr>
      </w:pPr>
      <w:hyperlink w:anchor="_Toc7796842" w:history="1">
        <w:r w:rsidRPr="00746BE6">
          <w:rPr>
            <w:rStyle w:val="Hyperlink"/>
          </w:rPr>
          <w:t>Observation 3</w:t>
        </w:r>
        <w:r>
          <w:rPr>
            <w:rFonts w:eastAsiaTheme="minorEastAsia" w:cstheme="minorBidi"/>
            <w:b w:val="0"/>
            <w:szCs w:val="22"/>
            <w:lang w:eastAsia="zh-TW"/>
          </w:rPr>
          <w:tab/>
        </w:r>
        <w:r w:rsidRPr="00746BE6">
          <w:rPr>
            <w:rStyle w:val="Hyperlink"/>
          </w:rPr>
          <w:t>Satellite beam switching, even within the same satellite, may require RRC signalling in most of the cases, which may not be efficient in NTN, regarding the propagation delay.</w:t>
        </w:r>
      </w:hyperlink>
    </w:p>
    <w:p w14:paraId="75E7EC2F" w14:textId="4B795CAA" w:rsidR="005F757D" w:rsidRDefault="005F757D">
      <w:pPr>
        <w:pStyle w:val="TOC1"/>
        <w:rPr>
          <w:rFonts w:eastAsiaTheme="minorEastAsia" w:cstheme="minorBidi"/>
          <w:b w:val="0"/>
          <w:szCs w:val="22"/>
          <w:lang w:eastAsia="zh-TW"/>
        </w:rPr>
      </w:pPr>
      <w:hyperlink w:anchor="_Toc7796843" w:history="1">
        <w:r w:rsidRPr="00746BE6">
          <w:rPr>
            <w:rStyle w:val="Hyperlink"/>
          </w:rPr>
          <w:t>Observation 4</w:t>
        </w:r>
        <w:r>
          <w:rPr>
            <w:rFonts w:eastAsiaTheme="minorEastAsia" w:cstheme="minorBidi"/>
            <w:b w:val="0"/>
            <w:szCs w:val="22"/>
            <w:lang w:eastAsia="zh-TW"/>
          </w:rPr>
          <w:tab/>
        </w:r>
        <w:r w:rsidRPr="00746BE6">
          <w:rPr>
            <w:rStyle w:val="Hyperlink"/>
          </w:rPr>
          <w:t>For Option A (the same PCI for several satellite beams), it is unclear whether the N-factor frequency reuse pattern on satellite beams is supported.</w:t>
        </w:r>
      </w:hyperlink>
    </w:p>
    <w:p w14:paraId="15AB37F7" w14:textId="79AD97A9" w:rsidR="00E6785D" w:rsidRDefault="000B5758">
      <w:pPr>
        <w:snapToGrid w:val="0"/>
      </w:pPr>
      <w:r w:rsidRPr="000B5758">
        <w:rPr>
          <w:b/>
        </w:rPr>
        <w:fldChar w:fldCharType="end"/>
      </w:r>
      <w:r w:rsidR="00D9451A">
        <w:t>Based on the above observations</w:t>
      </w:r>
      <w:r w:rsidR="003C13D5">
        <w:t>, we then have the following proposals</w:t>
      </w:r>
      <w:r w:rsidR="00D9451A">
        <w:t>.</w:t>
      </w:r>
    </w:p>
    <w:p w14:paraId="47DE062F" w14:textId="009E9F44" w:rsidR="005F757D" w:rsidRDefault="000B5758">
      <w:pPr>
        <w:pStyle w:val="TOC1"/>
        <w:rPr>
          <w:rFonts w:eastAsiaTheme="minorEastAsia" w:cstheme="minorBidi"/>
          <w:b w:val="0"/>
          <w:szCs w:val="22"/>
          <w:lang w:eastAsia="zh-TW"/>
        </w:rPr>
      </w:pPr>
      <w:r w:rsidRPr="000641E0">
        <w:rPr>
          <w:sz w:val="20"/>
        </w:rPr>
        <w:fldChar w:fldCharType="begin"/>
      </w:r>
      <w:r w:rsidRPr="000641E0">
        <w:instrText xml:space="preserve"> TOC \n \h \z \t "Proposal,1" </w:instrText>
      </w:r>
      <w:r w:rsidRPr="000641E0">
        <w:rPr>
          <w:sz w:val="20"/>
        </w:rPr>
        <w:fldChar w:fldCharType="separate"/>
      </w:r>
      <w:hyperlink w:anchor="_Toc7796838" w:history="1">
        <w:r w:rsidR="005F757D" w:rsidRPr="009859F1">
          <w:rPr>
            <w:rStyle w:val="Hyperlink"/>
          </w:rPr>
          <w:t>Proposal 1</w:t>
        </w:r>
        <w:r w:rsidR="005F757D">
          <w:rPr>
            <w:rFonts w:eastAsiaTheme="minorEastAsia" w:cstheme="minorBidi"/>
            <w:b w:val="0"/>
            <w:szCs w:val="22"/>
            <w:lang w:eastAsia="zh-TW"/>
          </w:rPr>
          <w:tab/>
        </w:r>
        <w:r w:rsidR="005F757D" w:rsidRPr="009859F1">
          <w:rPr>
            <w:rStyle w:val="Hyperlink"/>
          </w:rPr>
          <w:t>Support dynamic satellite-beamwidth switching for rain fade mitigation.</w:t>
        </w:r>
      </w:hyperlink>
    </w:p>
    <w:p w14:paraId="2BA01C0E" w14:textId="108688C2" w:rsidR="005F757D" w:rsidRDefault="005F757D">
      <w:pPr>
        <w:pStyle w:val="TOC1"/>
        <w:rPr>
          <w:rFonts w:eastAsiaTheme="minorEastAsia" w:cstheme="minorBidi"/>
          <w:b w:val="0"/>
          <w:szCs w:val="22"/>
          <w:lang w:eastAsia="zh-TW"/>
        </w:rPr>
      </w:pPr>
      <w:hyperlink w:anchor="_Toc7796839" w:history="1">
        <w:r w:rsidRPr="009859F1">
          <w:rPr>
            <w:rStyle w:val="Hyperlink"/>
          </w:rPr>
          <w:t>Proposal 2</w:t>
        </w:r>
        <w:r>
          <w:rPr>
            <w:rFonts w:eastAsiaTheme="minorEastAsia" w:cstheme="minorBidi"/>
            <w:b w:val="0"/>
            <w:szCs w:val="22"/>
            <w:lang w:eastAsia="zh-TW"/>
          </w:rPr>
          <w:tab/>
        </w:r>
        <w:r w:rsidRPr="009859F1">
          <w:rPr>
            <w:rStyle w:val="Hyperlink"/>
          </w:rPr>
          <w:t>Reuse the beam management framework of Rel-15 NR for Intra-Cell mobility in NTN.</w:t>
        </w:r>
      </w:hyperlink>
    </w:p>
    <w:p w14:paraId="53C87396" w14:textId="33A7CFDC" w:rsidR="000B5758" w:rsidRDefault="000B5758" w:rsidP="00644835">
      <w:pPr>
        <w:pStyle w:val="Heading1"/>
        <w:snapToGrid w:val="0"/>
        <w:jc w:val="both"/>
      </w:pPr>
      <w:r w:rsidRPr="000641E0">
        <w:rPr>
          <w:b/>
        </w:rPr>
        <w:fldChar w:fldCharType="end"/>
      </w:r>
      <w:r w:rsidR="00FA106B">
        <w:t>Reference</w:t>
      </w:r>
    </w:p>
    <w:p w14:paraId="4C07363B" w14:textId="60E09230" w:rsidR="008A2480" w:rsidRPr="007B731A" w:rsidRDefault="00E36BC9" w:rsidP="007B731A">
      <w:pPr>
        <w:pStyle w:val="Reference"/>
      </w:pPr>
      <w:bookmarkStart w:id="8" w:name="_Ref6305331"/>
      <w:r w:rsidRPr="007B731A">
        <w:t xml:space="preserve">Chairman Notes, 3GPP RAN1#96 Meeting, </w:t>
      </w:r>
      <w:r w:rsidR="00C73FCA" w:rsidRPr="007B731A">
        <w:t>Athens</w:t>
      </w:r>
      <w:r w:rsidRPr="007B731A">
        <w:t xml:space="preserve">, </w:t>
      </w:r>
      <w:r w:rsidR="00C73FCA" w:rsidRPr="007B731A">
        <w:t>Greece</w:t>
      </w:r>
      <w:r w:rsidRPr="007B731A">
        <w:t xml:space="preserve">, </w:t>
      </w:r>
      <w:r w:rsidR="00C73FCA" w:rsidRPr="007B731A">
        <w:t>Feb.</w:t>
      </w:r>
      <w:r w:rsidRPr="007B731A">
        <w:t xml:space="preserve"> 2019</w:t>
      </w:r>
      <w:bookmarkEnd w:id="8"/>
      <w:r w:rsidR="00174C28" w:rsidRPr="007B731A">
        <w:t>.</w:t>
      </w:r>
    </w:p>
    <w:p w14:paraId="22552E74" w14:textId="07EA6CA6" w:rsidR="00174C28" w:rsidRPr="007B731A" w:rsidRDefault="00174C28" w:rsidP="007B731A">
      <w:pPr>
        <w:pStyle w:val="Reference"/>
      </w:pPr>
      <w:bookmarkStart w:id="9" w:name="_Ref6306459"/>
      <w:r w:rsidRPr="007B731A">
        <w:t>Chairman Notes, 3GPP RAN1#96-Bis Meeting, Xi’an, China, Apr. 2019</w:t>
      </w:r>
      <w:bookmarkEnd w:id="9"/>
    </w:p>
    <w:bookmarkStart w:id="10" w:name="_Ref6305317"/>
    <w:p w14:paraId="1929D4F1" w14:textId="21381BCC" w:rsidR="00375A17" w:rsidRPr="007B731A" w:rsidRDefault="00C41981" w:rsidP="007B731A">
      <w:pPr>
        <w:pStyle w:val="Reference"/>
      </w:pPr>
      <w:r w:rsidRPr="007B731A">
        <w:fldChar w:fldCharType="begin"/>
      </w:r>
      <w:r w:rsidRPr="007B731A">
        <w:instrText>HYPERLINK "https://www.3gpp.org/ftp/tsg_ran/WG1_RL1/TSGR1_96b/Docs/R1-1904096.zip"</w:instrText>
      </w:r>
      <w:r w:rsidRPr="007B731A">
        <w:fldChar w:fldCharType="separate"/>
      </w:r>
      <w:r w:rsidRPr="007B731A">
        <w:rPr>
          <w:rStyle w:val="Hyperlink"/>
          <w:color w:val="auto"/>
          <w:u w:val="none"/>
        </w:rPr>
        <w:t>R1-1904096</w:t>
      </w:r>
      <w:r w:rsidRPr="007B731A">
        <w:fldChar w:fldCharType="end"/>
      </w:r>
      <w:r w:rsidRPr="007B731A">
        <w:t xml:space="preserve">, </w:t>
      </w:r>
      <w:r w:rsidR="00D76118" w:rsidRPr="007B731A">
        <w:t>“</w:t>
      </w:r>
      <w:r w:rsidRPr="007B731A">
        <w:t>Further Discussion on Multi-TRP Transmission,</w:t>
      </w:r>
      <w:r w:rsidR="00D76118" w:rsidRPr="007B731A">
        <w:t>”</w:t>
      </w:r>
      <w:r w:rsidRPr="007B731A">
        <w:t xml:space="preserve"> vivo, Apr</w:t>
      </w:r>
      <w:r w:rsidR="00C73FCA" w:rsidRPr="007B731A">
        <w:t>.</w:t>
      </w:r>
      <w:r w:rsidRPr="007B731A">
        <w:t xml:space="preserve"> 2019.</w:t>
      </w:r>
      <w:bookmarkEnd w:id="10"/>
    </w:p>
    <w:p w14:paraId="68793F04" w14:textId="3B8F5E58" w:rsidR="00427437" w:rsidRPr="007B731A" w:rsidRDefault="00427437" w:rsidP="007B731A">
      <w:pPr>
        <w:pStyle w:val="Reference"/>
      </w:pPr>
      <w:bookmarkStart w:id="11" w:name="_Ref7438523"/>
      <w:r w:rsidRPr="007B731A">
        <w:t>Ippolito Jr, Louis J. "Satellite Communications Systems Engineering: Atmospheric Effects." Satellite Link Design and System Performance, Oct. 2008.</w:t>
      </w:r>
      <w:bookmarkEnd w:id="11"/>
    </w:p>
    <w:p w14:paraId="06233941" w14:textId="3D7A2174" w:rsidR="004D6280" w:rsidRPr="007B731A" w:rsidRDefault="004D6280" w:rsidP="007B731A">
      <w:pPr>
        <w:pStyle w:val="Reference"/>
      </w:pPr>
      <w:bookmarkStart w:id="12" w:name="_Ref7443114"/>
      <w:r w:rsidRPr="007B731A">
        <w:t xml:space="preserve">Intelsat, The Globalized Network, </w:t>
      </w:r>
      <w:hyperlink r:id="rId10" w:history="1">
        <w:r w:rsidRPr="007B731A">
          <w:rPr>
            <w:rStyle w:val="Hyperlink"/>
            <w:color w:val="auto"/>
            <w:u w:val="none"/>
          </w:rPr>
          <w:t>http://www.intelsat.com/</w:t>
        </w:r>
      </w:hyperlink>
      <w:bookmarkEnd w:id="12"/>
    </w:p>
    <w:p w14:paraId="7EDC6C26" w14:textId="03EDCA4F" w:rsidR="0046028C" w:rsidRPr="007B731A" w:rsidRDefault="0046028C" w:rsidP="007B731A">
      <w:pPr>
        <w:pStyle w:val="Reference"/>
      </w:pPr>
      <w:bookmarkStart w:id="13" w:name="_Ref7540217"/>
      <w:r w:rsidRPr="007B731A">
        <w:t>TR 38.821, “Technical Specification Group Radio Access Network; Solutions for NR to support non-terrestrial networks (NTN).” 3rd Generation Partnership Project, Mar. 2019.</w:t>
      </w:r>
      <w:bookmarkEnd w:id="13"/>
    </w:p>
    <w:p w14:paraId="2FF001D5" w14:textId="308C5457" w:rsidR="00B26F33" w:rsidRPr="007B731A" w:rsidRDefault="00B26F33" w:rsidP="007B731A">
      <w:pPr>
        <w:pStyle w:val="Reference"/>
      </w:pPr>
      <w:bookmarkStart w:id="14" w:name="_Ref7705489"/>
      <w:proofErr w:type="spellStart"/>
      <w:r w:rsidRPr="007B731A">
        <w:t>Dahlman</w:t>
      </w:r>
      <w:proofErr w:type="spellEnd"/>
      <w:r w:rsidRPr="007B731A">
        <w:t xml:space="preserve">, Erik, Stefan </w:t>
      </w:r>
      <w:proofErr w:type="spellStart"/>
      <w:r w:rsidRPr="007B731A">
        <w:t>Parkvall</w:t>
      </w:r>
      <w:proofErr w:type="spellEnd"/>
      <w:r w:rsidRPr="007B731A">
        <w:t xml:space="preserve">, and Johan </w:t>
      </w:r>
      <w:proofErr w:type="spellStart"/>
      <w:r w:rsidRPr="007B731A">
        <w:t>Skold</w:t>
      </w:r>
      <w:proofErr w:type="spellEnd"/>
      <w:r w:rsidRPr="007B731A">
        <w:t>. “5G NR: The next generation wireless access technology.” Academic Press, Aug. 2018.</w:t>
      </w:r>
      <w:bookmarkEnd w:id="14"/>
    </w:p>
    <w:bookmarkStart w:id="15" w:name="_Ref7708614"/>
    <w:p w14:paraId="2831953B" w14:textId="63FDBE40" w:rsidR="005225DB" w:rsidRPr="00870A95" w:rsidRDefault="00D76118" w:rsidP="007B731A">
      <w:pPr>
        <w:pStyle w:val="Reference"/>
      </w:pPr>
      <w:r w:rsidRPr="007B731A">
        <w:fldChar w:fldCharType="begin"/>
      </w:r>
      <w:r w:rsidRPr="007B731A">
        <w:instrText xml:space="preserve"> HYPERLINK "https://www.3gpp.org/ftp/tsg_ran/WG3_Iu/TSGR3_103bis/Docs/R3-191276.zip" </w:instrText>
      </w:r>
      <w:r w:rsidRPr="007B731A">
        <w:fldChar w:fldCharType="separate"/>
      </w:r>
      <w:r w:rsidRPr="007B731A">
        <w:rPr>
          <w:rStyle w:val="Hyperlink"/>
          <w:color w:val="auto"/>
          <w:u w:val="none"/>
        </w:rPr>
        <w:t>R3-191276</w:t>
      </w:r>
      <w:r w:rsidRPr="007B731A">
        <w:fldChar w:fldCharType="end"/>
      </w:r>
      <w:r w:rsidRPr="007B731A">
        <w:t>, “</w:t>
      </w:r>
      <w:proofErr w:type="spellStart"/>
      <w:r w:rsidRPr="007B731A">
        <w:t>pCR</w:t>
      </w:r>
      <w:proofErr w:type="spellEnd"/>
      <w:r w:rsidRPr="007B731A">
        <w:t xml:space="preserve"> for TR38.821 Corrections of NTN </w:t>
      </w:r>
      <w:r w:rsidR="00B31BAD" w:rsidRPr="007B731A">
        <w:t>Applicable Mobility</w:t>
      </w:r>
      <w:r w:rsidRPr="007B731A">
        <w:t xml:space="preserve"> Procedures,” ZTE, Apr. 2019.</w:t>
      </w:r>
      <w:bookmarkEnd w:id="15"/>
    </w:p>
    <w:sectPr w:rsidR="005225DB" w:rsidRPr="00870A9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5E9AD6" w14:textId="77777777" w:rsidR="005E507B" w:rsidRDefault="005E507B" w:rsidP="0063297B">
      <w:pPr>
        <w:spacing w:after="0"/>
      </w:pPr>
      <w:r>
        <w:separator/>
      </w:r>
    </w:p>
  </w:endnote>
  <w:endnote w:type="continuationSeparator" w:id="0">
    <w:p w14:paraId="0DC54980" w14:textId="77777777" w:rsidR="005E507B" w:rsidRDefault="005E507B" w:rsidP="0063297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EB1C89" w14:textId="77777777" w:rsidR="005E507B" w:rsidRDefault="005E507B" w:rsidP="0063297B">
      <w:pPr>
        <w:spacing w:after="0"/>
      </w:pPr>
      <w:r>
        <w:separator/>
      </w:r>
    </w:p>
  </w:footnote>
  <w:footnote w:type="continuationSeparator" w:id="0">
    <w:p w14:paraId="1153AFCD" w14:textId="77777777" w:rsidR="005E507B" w:rsidRDefault="005E507B" w:rsidP="0063297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2B3CEC0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367254A"/>
    <w:multiLevelType w:val="hybridMultilevel"/>
    <w:tmpl w:val="C1E041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A456E67"/>
    <w:multiLevelType w:val="hybridMultilevel"/>
    <w:tmpl w:val="CC92B642"/>
    <w:lvl w:ilvl="0" w:tplc="04090001">
      <w:start w:val="1"/>
      <w:numFmt w:val="bullet"/>
      <w:lvlText w:val=""/>
      <w:lvlJc w:val="left"/>
      <w:pPr>
        <w:ind w:left="720" w:hanging="360"/>
      </w:pPr>
      <w:rPr>
        <w:rFonts w:ascii="Symbol" w:hAnsi="Symbol" w:hint="default"/>
      </w:rPr>
    </w:lvl>
    <w:lvl w:ilvl="1" w:tplc="5BA678EC">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0C710A1"/>
    <w:multiLevelType w:val="hybridMultilevel"/>
    <w:tmpl w:val="4DF8BBCE"/>
    <w:lvl w:ilvl="0" w:tplc="B9C8B154">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3AA46647"/>
    <w:multiLevelType w:val="hybridMultilevel"/>
    <w:tmpl w:val="5F8C106A"/>
    <w:lvl w:ilvl="0" w:tplc="60A04056">
      <w:start w:val="1"/>
      <w:numFmt w:val="decimal"/>
      <w:pStyle w:val="Proposal"/>
      <w:lvlText w:val="Proposal %1"/>
      <w:lvlJc w:val="left"/>
      <w:pPr>
        <w:tabs>
          <w:tab w:val="num" w:pos="1304"/>
        </w:tabs>
        <w:ind w:left="1304" w:hanging="1304"/>
      </w:pPr>
      <w:rPr>
        <w:rFonts w:hint="default"/>
      </w:rPr>
    </w:lvl>
    <w:lvl w:ilvl="1" w:tplc="6B72606A">
      <w:numFmt w:val="bullet"/>
      <w:lvlText w:val="•"/>
      <w:lvlJc w:val="left"/>
      <w:pPr>
        <w:ind w:left="1480" w:hanging="400"/>
      </w:pPr>
      <w:rPr>
        <w:rFonts w:ascii="Calibri" w:eastAsia="Times New Roman" w:hAnsi="Calibri" w:cs="Calibri"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pStyle w:val="Heading8"/>
      <w:lvlText w:val="%8."/>
      <w:lvlJc w:val="left"/>
      <w:pPr>
        <w:tabs>
          <w:tab w:val="num" w:pos="5760"/>
        </w:tabs>
        <w:ind w:left="5760" w:hanging="360"/>
      </w:pPr>
    </w:lvl>
    <w:lvl w:ilvl="8" w:tplc="0409001B" w:tentative="1">
      <w:start w:val="1"/>
      <w:numFmt w:val="lowerRoman"/>
      <w:pStyle w:val="Heading9"/>
      <w:lvlText w:val="%9."/>
      <w:lvlJc w:val="right"/>
      <w:pPr>
        <w:tabs>
          <w:tab w:val="num" w:pos="6480"/>
        </w:tabs>
        <w:ind w:left="6480" w:hanging="180"/>
      </w:pPr>
    </w:lvl>
  </w:abstractNum>
  <w:abstractNum w:abstractNumId="5" w15:restartNumberingAfterBreak="0">
    <w:nsid w:val="3F8B7930"/>
    <w:multiLevelType w:val="hybridMultilevel"/>
    <w:tmpl w:val="DF44C9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101505E"/>
    <w:multiLevelType w:val="hybridMultilevel"/>
    <w:tmpl w:val="71ECE4C4"/>
    <w:lvl w:ilvl="0" w:tplc="AF6668FA">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9E35197"/>
    <w:multiLevelType w:val="hybridMultilevel"/>
    <w:tmpl w:val="C0900BA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2"/>
  </w:num>
  <w:num w:numId="3">
    <w:abstractNumId w:val="1"/>
  </w:num>
  <w:num w:numId="4">
    <w:abstractNumId w:val="5"/>
  </w:num>
  <w:num w:numId="5">
    <w:abstractNumId w:val="7"/>
  </w:num>
  <w:num w:numId="6">
    <w:abstractNumId w:val="0"/>
  </w:num>
  <w:num w:numId="7">
    <w:abstractNumId w:val="4"/>
  </w:num>
  <w:num w:numId="8">
    <w:abstractNumId w:val="6"/>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4"/>
  </w:num>
  <w:num w:numId="17">
    <w:abstractNumId w:val="4"/>
  </w:num>
  <w:num w:numId="18">
    <w:abstractNumId w:val="4"/>
  </w:num>
  <w:num w:numId="19">
    <w:abstractNumId w:val="6"/>
  </w:num>
  <w:num w:numId="20">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hideSpellingErrors/>
  <w:hideGrammaticalErrors/>
  <w:proofState w:spelling="clean" w:grammar="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sDAwMTAyMjG2sDQxMjFR0lEKTi0uzszPAykwM64FABMf80ctAAAA"/>
  </w:docVars>
  <w:rsids>
    <w:rsidRoot w:val="006A4A78"/>
    <w:rsid w:val="00004A2B"/>
    <w:rsid w:val="00004E8F"/>
    <w:rsid w:val="00011505"/>
    <w:rsid w:val="000164F1"/>
    <w:rsid w:val="0003330B"/>
    <w:rsid w:val="00040844"/>
    <w:rsid w:val="000421CD"/>
    <w:rsid w:val="000436CD"/>
    <w:rsid w:val="000537D6"/>
    <w:rsid w:val="00060D85"/>
    <w:rsid w:val="000641E0"/>
    <w:rsid w:val="00065F28"/>
    <w:rsid w:val="0006645F"/>
    <w:rsid w:val="000710A5"/>
    <w:rsid w:val="000765E8"/>
    <w:rsid w:val="000877E2"/>
    <w:rsid w:val="00087FF4"/>
    <w:rsid w:val="00090CC3"/>
    <w:rsid w:val="00090D23"/>
    <w:rsid w:val="00092147"/>
    <w:rsid w:val="00092C12"/>
    <w:rsid w:val="000A05A9"/>
    <w:rsid w:val="000A6C7A"/>
    <w:rsid w:val="000A72BB"/>
    <w:rsid w:val="000B11D8"/>
    <w:rsid w:val="000B31C4"/>
    <w:rsid w:val="000B5758"/>
    <w:rsid w:val="000C4A32"/>
    <w:rsid w:val="000C5587"/>
    <w:rsid w:val="000D436E"/>
    <w:rsid w:val="000E09B3"/>
    <w:rsid w:val="000E27E3"/>
    <w:rsid w:val="000F27B9"/>
    <w:rsid w:val="000F2C86"/>
    <w:rsid w:val="00100FD3"/>
    <w:rsid w:val="00102528"/>
    <w:rsid w:val="001032BE"/>
    <w:rsid w:val="00120364"/>
    <w:rsid w:val="00121950"/>
    <w:rsid w:val="001255FC"/>
    <w:rsid w:val="00130D59"/>
    <w:rsid w:val="001343EC"/>
    <w:rsid w:val="001350CC"/>
    <w:rsid w:val="00140508"/>
    <w:rsid w:val="00140D47"/>
    <w:rsid w:val="001411CA"/>
    <w:rsid w:val="00141AC6"/>
    <w:rsid w:val="00142170"/>
    <w:rsid w:val="0014756E"/>
    <w:rsid w:val="00150043"/>
    <w:rsid w:val="00151886"/>
    <w:rsid w:val="00151E0B"/>
    <w:rsid w:val="00156C58"/>
    <w:rsid w:val="00164F50"/>
    <w:rsid w:val="00171803"/>
    <w:rsid w:val="00174C28"/>
    <w:rsid w:val="00175DBA"/>
    <w:rsid w:val="0017744C"/>
    <w:rsid w:val="00184890"/>
    <w:rsid w:val="00184BB8"/>
    <w:rsid w:val="0019033F"/>
    <w:rsid w:val="001946A6"/>
    <w:rsid w:val="00196E45"/>
    <w:rsid w:val="001974BD"/>
    <w:rsid w:val="001B4136"/>
    <w:rsid w:val="001B4DAE"/>
    <w:rsid w:val="001B515B"/>
    <w:rsid w:val="001C04A9"/>
    <w:rsid w:val="001C410A"/>
    <w:rsid w:val="001D0914"/>
    <w:rsid w:val="001D4A6B"/>
    <w:rsid w:val="001D7D48"/>
    <w:rsid w:val="001E5E12"/>
    <w:rsid w:val="002040A5"/>
    <w:rsid w:val="00211E96"/>
    <w:rsid w:val="00213ECA"/>
    <w:rsid w:val="0021555A"/>
    <w:rsid w:val="00217B35"/>
    <w:rsid w:val="002241DA"/>
    <w:rsid w:val="00225128"/>
    <w:rsid w:val="00226600"/>
    <w:rsid w:val="002270CB"/>
    <w:rsid w:val="002409BC"/>
    <w:rsid w:val="00244EF7"/>
    <w:rsid w:val="00251AA6"/>
    <w:rsid w:val="0026147C"/>
    <w:rsid w:val="00265BC6"/>
    <w:rsid w:val="00266699"/>
    <w:rsid w:val="00272612"/>
    <w:rsid w:val="002753CB"/>
    <w:rsid w:val="00277ED8"/>
    <w:rsid w:val="0028348F"/>
    <w:rsid w:val="00283B47"/>
    <w:rsid w:val="00283DA5"/>
    <w:rsid w:val="00290D43"/>
    <w:rsid w:val="00292A1A"/>
    <w:rsid w:val="0029349D"/>
    <w:rsid w:val="002A1292"/>
    <w:rsid w:val="002A1C4F"/>
    <w:rsid w:val="002A4692"/>
    <w:rsid w:val="002A48BD"/>
    <w:rsid w:val="002B4821"/>
    <w:rsid w:val="002B6795"/>
    <w:rsid w:val="002C1440"/>
    <w:rsid w:val="002C4EF6"/>
    <w:rsid w:val="002D0A11"/>
    <w:rsid w:val="002D1055"/>
    <w:rsid w:val="002E3D41"/>
    <w:rsid w:val="002F1BD5"/>
    <w:rsid w:val="002F4CE6"/>
    <w:rsid w:val="00303F1A"/>
    <w:rsid w:val="00306D3F"/>
    <w:rsid w:val="00306FC1"/>
    <w:rsid w:val="003102DB"/>
    <w:rsid w:val="00311FC9"/>
    <w:rsid w:val="0031408C"/>
    <w:rsid w:val="003211BF"/>
    <w:rsid w:val="00332483"/>
    <w:rsid w:val="00337856"/>
    <w:rsid w:val="00337EC7"/>
    <w:rsid w:val="00340930"/>
    <w:rsid w:val="00340A5E"/>
    <w:rsid w:val="00340E36"/>
    <w:rsid w:val="00346ED1"/>
    <w:rsid w:val="003503FC"/>
    <w:rsid w:val="00357483"/>
    <w:rsid w:val="0036258E"/>
    <w:rsid w:val="00362A8A"/>
    <w:rsid w:val="00362BCF"/>
    <w:rsid w:val="00370FF3"/>
    <w:rsid w:val="00372381"/>
    <w:rsid w:val="00375A17"/>
    <w:rsid w:val="00377537"/>
    <w:rsid w:val="0038162C"/>
    <w:rsid w:val="00387A01"/>
    <w:rsid w:val="0039336A"/>
    <w:rsid w:val="003A0843"/>
    <w:rsid w:val="003A244E"/>
    <w:rsid w:val="003A527A"/>
    <w:rsid w:val="003A666D"/>
    <w:rsid w:val="003A6CFF"/>
    <w:rsid w:val="003B107F"/>
    <w:rsid w:val="003C13D5"/>
    <w:rsid w:val="003C1C03"/>
    <w:rsid w:val="003C26EB"/>
    <w:rsid w:val="003D035E"/>
    <w:rsid w:val="003D30D6"/>
    <w:rsid w:val="003E009E"/>
    <w:rsid w:val="003E49D6"/>
    <w:rsid w:val="003E54CD"/>
    <w:rsid w:val="003F4247"/>
    <w:rsid w:val="00405441"/>
    <w:rsid w:val="00410971"/>
    <w:rsid w:val="00413D5C"/>
    <w:rsid w:val="004171CF"/>
    <w:rsid w:val="00420264"/>
    <w:rsid w:val="00425C93"/>
    <w:rsid w:val="0042691F"/>
    <w:rsid w:val="0042740D"/>
    <w:rsid w:val="00427437"/>
    <w:rsid w:val="00431CDC"/>
    <w:rsid w:val="00437745"/>
    <w:rsid w:val="004439C8"/>
    <w:rsid w:val="00444A3E"/>
    <w:rsid w:val="00445A29"/>
    <w:rsid w:val="00447C4B"/>
    <w:rsid w:val="00456894"/>
    <w:rsid w:val="0046028C"/>
    <w:rsid w:val="00460688"/>
    <w:rsid w:val="00460C5A"/>
    <w:rsid w:val="00464515"/>
    <w:rsid w:val="004660F0"/>
    <w:rsid w:val="00474D26"/>
    <w:rsid w:val="00475340"/>
    <w:rsid w:val="0047641F"/>
    <w:rsid w:val="00482E98"/>
    <w:rsid w:val="004964CD"/>
    <w:rsid w:val="004A0649"/>
    <w:rsid w:val="004A067C"/>
    <w:rsid w:val="004A40FE"/>
    <w:rsid w:val="004B2DB2"/>
    <w:rsid w:val="004B72F3"/>
    <w:rsid w:val="004C2EBF"/>
    <w:rsid w:val="004C688C"/>
    <w:rsid w:val="004D4E24"/>
    <w:rsid w:val="004D5B34"/>
    <w:rsid w:val="004D5E5A"/>
    <w:rsid w:val="004D6280"/>
    <w:rsid w:val="004D7A67"/>
    <w:rsid w:val="004E115A"/>
    <w:rsid w:val="004E3848"/>
    <w:rsid w:val="004E61D7"/>
    <w:rsid w:val="004F5591"/>
    <w:rsid w:val="00500A75"/>
    <w:rsid w:val="00503526"/>
    <w:rsid w:val="00512877"/>
    <w:rsid w:val="005225DB"/>
    <w:rsid w:val="00522BF1"/>
    <w:rsid w:val="00533B6B"/>
    <w:rsid w:val="00533C06"/>
    <w:rsid w:val="00534496"/>
    <w:rsid w:val="00535AFB"/>
    <w:rsid w:val="00540DA1"/>
    <w:rsid w:val="005514A9"/>
    <w:rsid w:val="00552805"/>
    <w:rsid w:val="0055286A"/>
    <w:rsid w:val="00556EA5"/>
    <w:rsid w:val="00557C1B"/>
    <w:rsid w:val="005643DD"/>
    <w:rsid w:val="005718A0"/>
    <w:rsid w:val="0057520F"/>
    <w:rsid w:val="00575D10"/>
    <w:rsid w:val="00583232"/>
    <w:rsid w:val="00587BF9"/>
    <w:rsid w:val="00595E68"/>
    <w:rsid w:val="00597063"/>
    <w:rsid w:val="0059772B"/>
    <w:rsid w:val="005A2F7F"/>
    <w:rsid w:val="005A3609"/>
    <w:rsid w:val="005A3BA9"/>
    <w:rsid w:val="005A470C"/>
    <w:rsid w:val="005B3BEC"/>
    <w:rsid w:val="005B48F8"/>
    <w:rsid w:val="005B682D"/>
    <w:rsid w:val="005B7F3C"/>
    <w:rsid w:val="005C11C5"/>
    <w:rsid w:val="005C3210"/>
    <w:rsid w:val="005D31EF"/>
    <w:rsid w:val="005D6242"/>
    <w:rsid w:val="005D701E"/>
    <w:rsid w:val="005E1F4B"/>
    <w:rsid w:val="005E507B"/>
    <w:rsid w:val="005E5795"/>
    <w:rsid w:val="005E7CBA"/>
    <w:rsid w:val="005F5B9E"/>
    <w:rsid w:val="005F757D"/>
    <w:rsid w:val="006021F8"/>
    <w:rsid w:val="00607499"/>
    <w:rsid w:val="00615999"/>
    <w:rsid w:val="006226AC"/>
    <w:rsid w:val="006257A0"/>
    <w:rsid w:val="006300A6"/>
    <w:rsid w:val="0063297B"/>
    <w:rsid w:val="006332F3"/>
    <w:rsid w:val="006402AA"/>
    <w:rsid w:val="00641823"/>
    <w:rsid w:val="00642466"/>
    <w:rsid w:val="00642B9C"/>
    <w:rsid w:val="00644835"/>
    <w:rsid w:val="00645202"/>
    <w:rsid w:val="00650F0D"/>
    <w:rsid w:val="00651F58"/>
    <w:rsid w:val="00662F9A"/>
    <w:rsid w:val="00662FC7"/>
    <w:rsid w:val="00663591"/>
    <w:rsid w:val="006714EF"/>
    <w:rsid w:val="00681C40"/>
    <w:rsid w:val="006832B4"/>
    <w:rsid w:val="00683624"/>
    <w:rsid w:val="006873C3"/>
    <w:rsid w:val="00691992"/>
    <w:rsid w:val="00692027"/>
    <w:rsid w:val="006948BE"/>
    <w:rsid w:val="006A4A78"/>
    <w:rsid w:val="006A65F5"/>
    <w:rsid w:val="006A6ECE"/>
    <w:rsid w:val="006B13F0"/>
    <w:rsid w:val="006B14E1"/>
    <w:rsid w:val="006B40C4"/>
    <w:rsid w:val="006B76D5"/>
    <w:rsid w:val="006C378D"/>
    <w:rsid w:val="006C627A"/>
    <w:rsid w:val="006F2A6B"/>
    <w:rsid w:val="007041E8"/>
    <w:rsid w:val="007112C0"/>
    <w:rsid w:val="00714DA9"/>
    <w:rsid w:val="00721143"/>
    <w:rsid w:val="007213CA"/>
    <w:rsid w:val="007220C1"/>
    <w:rsid w:val="00723DB2"/>
    <w:rsid w:val="00724BA4"/>
    <w:rsid w:val="007307A2"/>
    <w:rsid w:val="00733F14"/>
    <w:rsid w:val="0073595F"/>
    <w:rsid w:val="00752DE6"/>
    <w:rsid w:val="00763F72"/>
    <w:rsid w:val="00765DD3"/>
    <w:rsid w:val="00771943"/>
    <w:rsid w:val="00782615"/>
    <w:rsid w:val="007848ED"/>
    <w:rsid w:val="00790E9B"/>
    <w:rsid w:val="0079355F"/>
    <w:rsid w:val="007A3170"/>
    <w:rsid w:val="007A345D"/>
    <w:rsid w:val="007A78CA"/>
    <w:rsid w:val="007B731A"/>
    <w:rsid w:val="007C0EB9"/>
    <w:rsid w:val="007C10BC"/>
    <w:rsid w:val="007C1338"/>
    <w:rsid w:val="007C28B2"/>
    <w:rsid w:val="007C5488"/>
    <w:rsid w:val="007C7D76"/>
    <w:rsid w:val="007D05E6"/>
    <w:rsid w:val="007D598C"/>
    <w:rsid w:val="007D653E"/>
    <w:rsid w:val="007E038D"/>
    <w:rsid w:val="007E1F66"/>
    <w:rsid w:val="007E6F39"/>
    <w:rsid w:val="007E7AC0"/>
    <w:rsid w:val="007F4CD9"/>
    <w:rsid w:val="00803236"/>
    <w:rsid w:val="00804A43"/>
    <w:rsid w:val="00816F22"/>
    <w:rsid w:val="0082650D"/>
    <w:rsid w:val="00836E59"/>
    <w:rsid w:val="0084551F"/>
    <w:rsid w:val="00852937"/>
    <w:rsid w:val="00856A51"/>
    <w:rsid w:val="008572E2"/>
    <w:rsid w:val="00863D40"/>
    <w:rsid w:val="008673C9"/>
    <w:rsid w:val="00870A95"/>
    <w:rsid w:val="00871C51"/>
    <w:rsid w:val="008817AD"/>
    <w:rsid w:val="0088423C"/>
    <w:rsid w:val="008860DF"/>
    <w:rsid w:val="00886DB9"/>
    <w:rsid w:val="00897341"/>
    <w:rsid w:val="008A2480"/>
    <w:rsid w:val="008A3669"/>
    <w:rsid w:val="008B0A71"/>
    <w:rsid w:val="008B40E1"/>
    <w:rsid w:val="008B461D"/>
    <w:rsid w:val="008C23D2"/>
    <w:rsid w:val="008C6885"/>
    <w:rsid w:val="008D0926"/>
    <w:rsid w:val="008D2612"/>
    <w:rsid w:val="008D361B"/>
    <w:rsid w:val="008D36AE"/>
    <w:rsid w:val="008E1D9C"/>
    <w:rsid w:val="008E437B"/>
    <w:rsid w:val="008E461D"/>
    <w:rsid w:val="008E622F"/>
    <w:rsid w:val="008F0C94"/>
    <w:rsid w:val="008F24E5"/>
    <w:rsid w:val="008F382E"/>
    <w:rsid w:val="008F39AD"/>
    <w:rsid w:val="008F4541"/>
    <w:rsid w:val="009026AE"/>
    <w:rsid w:val="00907E2F"/>
    <w:rsid w:val="00907FA2"/>
    <w:rsid w:val="00917188"/>
    <w:rsid w:val="009326BD"/>
    <w:rsid w:val="00932935"/>
    <w:rsid w:val="009418C1"/>
    <w:rsid w:val="009445D8"/>
    <w:rsid w:val="00951C9E"/>
    <w:rsid w:val="00955EBD"/>
    <w:rsid w:val="009614D3"/>
    <w:rsid w:val="009660A4"/>
    <w:rsid w:val="00981EAC"/>
    <w:rsid w:val="00986583"/>
    <w:rsid w:val="00986A2B"/>
    <w:rsid w:val="0098759C"/>
    <w:rsid w:val="00992976"/>
    <w:rsid w:val="009A3179"/>
    <w:rsid w:val="009A7AA0"/>
    <w:rsid w:val="009B2A8D"/>
    <w:rsid w:val="009B7587"/>
    <w:rsid w:val="009C2961"/>
    <w:rsid w:val="009C5F1A"/>
    <w:rsid w:val="009D00B9"/>
    <w:rsid w:val="009D112D"/>
    <w:rsid w:val="009D13CA"/>
    <w:rsid w:val="009D3402"/>
    <w:rsid w:val="009E0141"/>
    <w:rsid w:val="009E0CE5"/>
    <w:rsid w:val="009E1AC6"/>
    <w:rsid w:val="009E4823"/>
    <w:rsid w:val="009F0A8A"/>
    <w:rsid w:val="009F1C2E"/>
    <w:rsid w:val="009F5133"/>
    <w:rsid w:val="00A04811"/>
    <w:rsid w:val="00A04F94"/>
    <w:rsid w:val="00A06780"/>
    <w:rsid w:val="00A1623E"/>
    <w:rsid w:val="00A164FC"/>
    <w:rsid w:val="00A23275"/>
    <w:rsid w:val="00A24D74"/>
    <w:rsid w:val="00A33ACF"/>
    <w:rsid w:val="00A34A8B"/>
    <w:rsid w:val="00A43B24"/>
    <w:rsid w:val="00A52363"/>
    <w:rsid w:val="00A5352C"/>
    <w:rsid w:val="00A558B4"/>
    <w:rsid w:val="00A573D3"/>
    <w:rsid w:val="00A62ED4"/>
    <w:rsid w:val="00A65475"/>
    <w:rsid w:val="00A84468"/>
    <w:rsid w:val="00A96C13"/>
    <w:rsid w:val="00AA1DA2"/>
    <w:rsid w:val="00AA45AA"/>
    <w:rsid w:val="00AA609F"/>
    <w:rsid w:val="00AA710B"/>
    <w:rsid w:val="00AB4425"/>
    <w:rsid w:val="00AB6061"/>
    <w:rsid w:val="00AB64EA"/>
    <w:rsid w:val="00AB6864"/>
    <w:rsid w:val="00AB707C"/>
    <w:rsid w:val="00AC5B84"/>
    <w:rsid w:val="00AC6BDA"/>
    <w:rsid w:val="00AD1374"/>
    <w:rsid w:val="00AD23D4"/>
    <w:rsid w:val="00AD3910"/>
    <w:rsid w:val="00AD778F"/>
    <w:rsid w:val="00AE6B31"/>
    <w:rsid w:val="00AF3589"/>
    <w:rsid w:val="00AF4BC0"/>
    <w:rsid w:val="00AF5CB8"/>
    <w:rsid w:val="00AF6F22"/>
    <w:rsid w:val="00B0014B"/>
    <w:rsid w:val="00B00928"/>
    <w:rsid w:val="00B06526"/>
    <w:rsid w:val="00B06705"/>
    <w:rsid w:val="00B10DAE"/>
    <w:rsid w:val="00B12B17"/>
    <w:rsid w:val="00B2230B"/>
    <w:rsid w:val="00B227C6"/>
    <w:rsid w:val="00B238C0"/>
    <w:rsid w:val="00B26F33"/>
    <w:rsid w:val="00B31BAD"/>
    <w:rsid w:val="00B32BAA"/>
    <w:rsid w:val="00B33891"/>
    <w:rsid w:val="00B35EB1"/>
    <w:rsid w:val="00B35F3E"/>
    <w:rsid w:val="00B41E37"/>
    <w:rsid w:val="00B446D3"/>
    <w:rsid w:val="00B46003"/>
    <w:rsid w:val="00B47132"/>
    <w:rsid w:val="00B475E8"/>
    <w:rsid w:val="00B50F4F"/>
    <w:rsid w:val="00B56D23"/>
    <w:rsid w:val="00B577F7"/>
    <w:rsid w:val="00B7161A"/>
    <w:rsid w:val="00B74A82"/>
    <w:rsid w:val="00B77646"/>
    <w:rsid w:val="00B85C4E"/>
    <w:rsid w:val="00B926CE"/>
    <w:rsid w:val="00B92E0B"/>
    <w:rsid w:val="00BA181B"/>
    <w:rsid w:val="00BA6154"/>
    <w:rsid w:val="00BA7380"/>
    <w:rsid w:val="00BB0155"/>
    <w:rsid w:val="00BB36D3"/>
    <w:rsid w:val="00BB69A0"/>
    <w:rsid w:val="00BC039A"/>
    <w:rsid w:val="00BC0ACC"/>
    <w:rsid w:val="00BC23CB"/>
    <w:rsid w:val="00BC5100"/>
    <w:rsid w:val="00BC5EAD"/>
    <w:rsid w:val="00BD421B"/>
    <w:rsid w:val="00BD6CB4"/>
    <w:rsid w:val="00BD7926"/>
    <w:rsid w:val="00BF1025"/>
    <w:rsid w:val="00BF176B"/>
    <w:rsid w:val="00BF2A10"/>
    <w:rsid w:val="00C04FDA"/>
    <w:rsid w:val="00C12179"/>
    <w:rsid w:val="00C12B3A"/>
    <w:rsid w:val="00C144FF"/>
    <w:rsid w:val="00C14A92"/>
    <w:rsid w:val="00C1663D"/>
    <w:rsid w:val="00C20004"/>
    <w:rsid w:val="00C218FC"/>
    <w:rsid w:val="00C37D56"/>
    <w:rsid w:val="00C41981"/>
    <w:rsid w:val="00C43099"/>
    <w:rsid w:val="00C4314A"/>
    <w:rsid w:val="00C52F31"/>
    <w:rsid w:val="00C5503B"/>
    <w:rsid w:val="00C61BE4"/>
    <w:rsid w:val="00C73FCA"/>
    <w:rsid w:val="00C77EE0"/>
    <w:rsid w:val="00C9043D"/>
    <w:rsid w:val="00C92BFE"/>
    <w:rsid w:val="00CA2A35"/>
    <w:rsid w:val="00CA6D68"/>
    <w:rsid w:val="00CB245F"/>
    <w:rsid w:val="00CB7FD6"/>
    <w:rsid w:val="00CC278A"/>
    <w:rsid w:val="00CC2862"/>
    <w:rsid w:val="00CC5CBC"/>
    <w:rsid w:val="00CC6AC9"/>
    <w:rsid w:val="00CF2030"/>
    <w:rsid w:val="00CF211D"/>
    <w:rsid w:val="00CF2D92"/>
    <w:rsid w:val="00D02BEF"/>
    <w:rsid w:val="00D15BA4"/>
    <w:rsid w:val="00D1777F"/>
    <w:rsid w:val="00D17FAE"/>
    <w:rsid w:val="00D20DF0"/>
    <w:rsid w:val="00D21500"/>
    <w:rsid w:val="00D27775"/>
    <w:rsid w:val="00D40635"/>
    <w:rsid w:val="00D415FF"/>
    <w:rsid w:val="00D51E0E"/>
    <w:rsid w:val="00D5268F"/>
    <w:rsid w:val="00D54EBB"/>
    <w:rsid w:val="00D55BC8"/>
    <w:rsid w:val="00D626FF"/>
    <w:rsid w:val="00D64898"/>
    <w:rsid w:val="00D65109"/>
    <w:rsid w:val="00D700A8"/>
    <w:rsid w:val="00D73D3B"/>
    <w:rsid w:val="00D74486"/>
    <w:rsid w:val="00D75E1C"/>
    <w:rsid w:val="00D76118"/>
    <w:rsid w:val="00D7638D"/>
    <w:rsid w:val="00D82662"/>
    <w:rsid w:val="00D850A1"/>
    <w:rsid w:val="00D91E7F"/>
    <w:rsid w:val="00D92516"/>
    <w:rsid w:val="00D9451A"/>
    <w:rsid w:val="00D9534A"/>
    <w:rsid w:val="00DA2FD2"/>
    <w:rsid w:val="00DA6A25"/>
    <w:rsid w:val="00DA77FC"/>
    <w:rsid w:val="00DB5F21"/>
    <w:rsid w:val="00DC336B"/>
    <w:rsid w:val="00DC7068"/>
    <w:rsid w:val="00DD076F"/>
    <w:rsid w:val="00DE3465"/>
    <w:rsid w:val="00DF331F"/>
    <w:rsid w:val="00E07CFA"/>
    <w:rsid w:val="00E1317B"/>
    <w:rsid w:val="00E13407"/>
    <w:rsid w:val="00E2171A"/>
    <w:rsid w:val="00E21921"/>
    <w:rsid w:val="00E230C0"/>
    <w:rsid w:val="00E25594"/>
    <w:rsid w:val="00E36BC9"/>
    <w:rsid w:val="00E40273"/>
    <w:rsid w:val="00E40EF5"/>
    <w:rsid w:val="00E42568"/>
    <w:rsid w:val="00E43BA4"/>
    <w:rsid w:val="00E510BC"/>
    <w:rsid w:val="00E65ED1"/>
    <w:rsid w:val="00E6785D"/>
    <w:rsid w:val="00E70C2D"/>
    <w:rsid w:val="00E76AF6"/>
    <w:rsid w:val="00E80A90"/>
    <w:rsid w:val="00E84CCD"/>
    <w:rsid w:val="00E86B31"/>
    <w:rsid w:val="00E9264F"/>
    <w:rsid w:val="00E966F4"/>
    <w:rsid w:val="00E967E7"/>
    <w:rsid w:val="00E96865"/>
    <w:rsid w:val="00EB1B13"/>
    <w:rsid w:val="00EB1FC2"/>
    <w:rsid w:val="00EB62A6"/>
    <w:rsid w:val="00EB70FE"/>
    <w:rsid w:val="00EC3B08"/>
    <w:rsid w:val="00EC4EFD"/>
    <w:rsid w:val="00ED71B9"/>
    <w:rsid w:val="00F1336B"/>
    <w:rsid w:val="00F176E3"/>
    <w:rsid w:val="00F25712"/>
    <w:rsid w:val="00F32465"/>
    <w:rsid w:val="00F33C17"/>
    <w:rsid w:val="00F35B86"/>
    <w:rsid w:val="00F41C51"/>
    <w:rsid w:val="00F43C17"/>
    <w:rsid w:val="00F45971"/>
    <w:rsid w:val="00F469EC"/>
    <w:rsid w:val="00F54FD5"/>
    <w:rsid w:val="00F6206C"/>
    <w:rsid w:val="00F62F66"/>
    <w:rsid w:val="00F6347A"/>
    <w:rsid w:val="00F63EBC"/>
    <w:rsid w:val="00F63F4F"/>
    <w:rsid w:val="00F648E5"/>
    <w:rsid w:val="00F66954"/>
    <w:rsid w:val="00F77B6B"/>
    <w:rsid w:val="00F83AE5"/>
    <w:rsid w:val="00F856C1"/>
    <w:rsid w:val="00F87104"/>
    <w:rsid w:val="00F904CA"/>
    <w:rsid w:val="00F926B5"/>
    <w:rsid w:val="00F92C97"/>
    <w:rsid w:val="00F96E93"/>
    <w:rsid w:val="00FA106B"/>
    <w:rsid w:val="00FA25E3"/>
    <w:rsid w:val="00FA5BED"/>
    <w:rsid w:val="00FA791D"/>
    <w:rsid w:val="00FB591D"/>
    <w:rsid w:val="00FB5F26"/>
    <w:rsid w:val="00FC2A5B"/>
    <w:rsid w:val="00FC5E97"/>
    <w:rsid w:val="00FD2F86"/>
    <w:rsid w:val="00FD3D1D"/>
    <w:rsid w:val="00FD5810"/>
    <w:rsid w:val="00FD608F"/>
    <w:rsid w:val="00FE2728"/>
    <w:rsid w:val="00FE5034"/>
    <w:rsid w:val="00FE63AA"/>
    <w:rsid w:val="00FE76DD"/>
    <w:rsid w:val="00FF45F4"/>
    <w:rsid w:val="00FF52BD"/>
    <w:rsid w:val="00FF7D0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59579B"/>
  <w15:chartTrackingRefBased/>
  <w15:docId w15:val="{A723DAF0-15D3-488E-B3BD-A164DE2E19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00B9"/>
    <w:pPr>
      <w:overflowPunct w:val="0"/>
      <w:autoSpaceDE w:val="0"/>
      <w:autoSpaceDN w:val="0"/>
      <w:adjustRightInd w:val="0"/>
      <w:spacing w:after="120" w:line="240" w:lineRule="auto"/>
      <w:jc w:val="both"/>
      <w:textAlignment w:val="baseline"/>
    </w:pPr>
    <w:rPr>
      <w:szCs w:val="20"/>
      <w:lang w:val="en-GB" w:eastAsia="zh-CN"/>
    </w:rPr>
  </w:style>
  <w:style w:type="paragraph" w:styleId="Heading1">
    <w:name w:val="heading 1"/>
    <w:aliases w:val="h1,h11,h12,h13,h14,h15,h16,h17,h111,h121,h131,h141,h151,h161,h18,h112,h122,h132,h142,h152,h162,h19,h113,h123,h133,h143,h153,h163,H1,app heading 1,l1,Memo Heading 1,Heading 1_a"/>
    <w:next w:val="Normal"/>
    <w:link w:val="Heading1Char"/>
    <w:uiPriority w:val="9"/>
    <w:qFormat/>
    <w:rsid w:val="009D00B9"/>
    <w:pPr>
      <w:keepNext/>
      <w:keepLines/>
      <w:numPr>
        <w:numId w:val="15"/>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heme="majorEastAsia" w:hAnsi="Arial" w:cs="Arial"/>
      <w:sz w:val="32"/>
      <w:szCs w:val="36"/>
      <w:lang w:val="en-GB" w:eastAsia="zh-CN"/>
    </w:rPr>
  </w:style>
  <w:style w:type="paragraph" w:styleId="Heading2">
    <w:name w:val="heading 2"/>
    <w:aliases w:val="H2,h2,DO NOT USE_h2,h21,2,Header 2,Header2,22,heading2,2nd level,UNDERRUBRIK 1-2,H21,H22,H23,H24,H25,R2,E2,†berschrift 2,õberschrift 2"/>
    <w:basedOn w:val="Heading1"/>
    <w:next w:val="Normal"/>
    <w:link w:val="Heading2Char"/>
    <w:qFormat/>
    <w:rsid w:val="009D00B9"/>
    <w:pPr>
      <w:numPr>
        <w:ilvl w:val="1"/>
      </w:numPr>
      <w:pBdr>
        <w:top w:val="none" w:sz="0" w:space="0" w:color="auto"/>
      </w:pBdr>
      <w:spacing w:before="180"/>
      <w:outlineLvl w:val="1"/>
    </w:pPr>
    <w:rPr>
      <w:sz w:val="28"/>
      <w:szCs w:val="32"/>
    </w:rPr>
  </w:style>
  <w:style w:type="paragraph" w:styleId="Heading3">
    <w:name w:val="heading 3"/>
    <w:aliases w:val="H3,h3"/>
    <w:basedOn w:val="Heading2"/>
    <w:next w:val="Normal"/>
    <w:link w:val="Heading3Char"/>
    <w:qFormat/>
    <w:rsid w:val="009D00B9"/>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
    <w:basedOn w:val="Heading3"/>
    <w:next w:val="Normal"/>
    <w:link w:val="Heading4Char"/>
    <w:qFormat/>
    <w:rsid w:val="009D00B9"/>
    <w:pPr>
      <w:numPr>
        <w:ilvl w:val="3"/>
      </w:numPr>
      <w:outlineLvl w:val="3"/>
    </w:pPr>
    <w:rPr>
      <w:szCs w:val="24"/>
    </w:rPr>
  </w:style>
  <w:style w:type="paragraph" w:styleId="Heading5">
    <w:name w:val="heading 5"/>
    <w:aliases w:val="h5,Heading5"/>
    <w:basedOn w:val="Heading4"/>
    <w:next w:val="Normal"/>
    <w:link w:val="Heading5Char"/>
    <w:qFormat/>
    <w:rsid w:val="009D00B9"/>
    <w:pPr>
      <w:numPr>
        <w:ilvl w:val="4"/>
      </w:numPr>
      <w:outlineLvl w:val="4"/>
    </w:pPr>
    <w:rPr>
      <w:sz w:val="22"/>
      <w:szCs w:val="22"/>
    </w:rPr>
  </w:style>
  <w:style w:type="paragraph" w:styleId="Heading6">
    <w:name w:val="heading 6"/>
    <w:aliases w:val="h6"/>
    <w:basedOn w:val="Normal"/>
    <w:next w:val="Normal"/>
    <w:link w:val="Heading6Char"/>
    <w:qFormat/>
    <w:rsid w:val="009D00B9"/>
    <w:pPr>
      <w:keepNext/>
      <w:keepLines/>
      <w:numPr>
        <w:ilvl w:val="5"/>
        <w:numId w:val="15"/>
      </w:numPr>
      <w:spacing w:before="120"/>
      <w:outlineLvl w:val="5"/>
    </w:pPr>
    <w:rPr>
      <w:rFonts w:eastAsiaTheme="majorEastAsia" w:cs="Arial"/>
      <w:sz w:val="20"/>
    </w:rPr>
  </w:style>
  <w:style w:type="paragraph" w:styleId="Heading7">
    <w:name w:val="heading 7"/>
    <w:basedOn w:val="Normal"/>
    <w:next w:val="Normal"/>
    <w:link w:val="Heading7Char"/>
    <w:qFormat/>
    <w:rsid w:val="009D00B9"/>
    <w:pPr>
      <w:keepNext/>
      <w:keepLines/>
      <w:numPr>
        <w:ilvl w:val="6"/>
        <w:numId w:val="1"/>
      </w:numPr>
      <w:spacing w:before="120"/>
      <w:outlineLvl w:val="6"/>
    </w:pPr>
    <w:rPr>
      <w:rFonts w:eastAsiaTheme="majorEastAsia" w:cs="Arial"/>
      <w:sz w:val="20"/>
    </w:rPr>
  </w:style>
  <w:style w:type="paragraph" w:styleId="Heading8">
    <w:name w:val="heading 8"/>
    <w:basedOn w:val="Heading7"/>
    <w:next w:val="Normal"/>
    <w:link w:val="Heading8Char"/>
    <w:qFormat/>
    <w:rsid w:val="009D00B9"/>
    <w:pPr>
      <w:numPr>
        <w:ilvl w:val="7"/>
        <w:numId w:val="18"/>
      </w:numPr>
      <w:outlineLvl w:val="7"/>
    </w:pPr>
  </w:style>
  <w:style w:type="paragraph" w:styleId="Heading9">
    <w:name w:val="heading 9"/>
    <w:aliases w:val="Figure Heading,FH"/>
    <w:basedOn w:val="Heading8"/>
    <w:next w:val="Normal"/>
    <w:link w:val="Heading9Char"/>
    <w:qFormat/>
    <w:rsid w:val="009D00B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eader">
    <w:name w:val="3GPP_Header"/>
    <w:basedOn w:val="Normal"/>
    <w:qFormat/>
    <w:rsid w:val="009D00B9"/>
    <w:pPr>
      <w:tabs>
        <w:tab w:val="left" w:pos="1800"/>
        <w:tab w:val="right" w:pos="9360"/>
      </w:tabs>
      <w:spacing w:after="0"/>
    </w:pPr>
    <w:rPr>
      <w:rFonts w:ascii="Arial" w:eastAsia="Times New Roman" w:hAnsi="Arial" w:cs="Times New Roman"/>
      <w:b/>
    </w:rPr>
  </w:style>
  <w:style w:type="paragraph" w:customStyle="1" w:styleId="Reference">
    <w:name w:val="Reference"/>
    <w:basedOn w:val="Normal"/>
    <w:qFormat/>
    <w:rsid w:val="009D00B9"/>
    <w:pPr>
      <w:numPr>
        <w:numId w:val="20"/>
      </w:numPr>
    </w:pPr>
    <w:rPr>
      <w:rFonts w:eastAsia="Times New Roman" w:cs="Times New Roman"/>
    </w:rPr>
  </w:style>
  <w:style w:type="paragraph" w:customStyle="1" w:styleId="Proposal">
    <w:name w:val="Proposal"/>
    <w:basedOn w:val="Normal"/>
    <w:qFormat/>
    <w:rsid w:val="009D00B9"/>
    <w:pPr>
      <w:numPr>
        <w:numId w:val="18"/>
      </w:numPr>
      <w:tabs>
        <w:tab w:val="num" w:leader="heavy" w:pos="2725"/>
      </w:tabs>
    </w:pPr>
    <w:rPr>
      <w:rFonts w:eastAsia="Times New Roman" w:cs="Times New Roman"/>
      <w:b/>
      <w:bCs/>
    </w:rPr>
  </w:style>
  <w:style w:type="paragraph" w:customStyle="1" w:styleId="Observation">
    <w:name w:val="Observation"/>
    <w:basedOn w:val="Normal"/>
    <w:autoRedefine/>
    <w:qFormat/>
    <w:rsid w:val="00C144FF"/>
    <w:pPr>
      <w:numPr>
        <w:numId w:val="19"/>
      </w:numPr>
      <w:ind w:left="1584" w:hanging="1584"/>
    </w:pPr>
    <w:rPr>
      <w:b/>
    </w:rPr>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uiPriority w:val="9"/>
    <w:rsid w:val="009D00B9"/>
    <w:rPr>
      <w:rFonts w:ascii="Arial" w:eastAsiaTheme="majorEastAsia" w:hAnsi="Arial" w:cs="Arial"/>
      <w:sz w:val="32"/>
      <w:szCs w:val="36"/>
      <w:lang w:val="en-GB" w:eastAsia="zh-CN"/>
    </w:rPr>
  </w:style>
  <w:style w:type="character" w:customStyle="1" w:styleId="Heading2Char">
    <w:name w:val="Heading 2 Char"/>
    <w:aliases w:val="H2 Char,h2 Char,DO NOT USE_h2 Char,h21 Char,2 Char,Header 2 Char,Header2 Char,22 Char,heading2 Char,2nd level Char,UNDERRUBRIK 1-2 Char,H21 Char,H22 Char,H23 Char,H24 Char,H25 Char,R2 Char,E2 Char,†berschrift 2 Char,õberschrift 2 Char"/>
    <w:basedOn w:val="DefaultParagraphFont"/>
    <w:link w:val="Heading2"/>
    <w:rsid w:val="009D00B9"/>
    <w:rPr>
      <w:rFonts w:ascii="Arial" w:eastAsiaTheme="majorEastAsia" w:hAnsi="Arial" w:cs="Arial"/>
      <w:sz w:val="28"/>
      <w:szCs w:val="32"/>
      <w:lang w:val="en-GB" w:eastAsia="zh-CN"/>
    </w:rPr>
  </w:style>
  <w:style w:type="character" w:customStyle="1" w:styleId="Heading3Char">
    <w:name w:val="Heading 3 Char"/>
    <w:aliases w:val="H3 Char,h3 Char"/>
    <w:basedOn w:val="DefaultParagraphFont"/>
    <w:link w:val="Heading3"/>
    <w:rsid w:val="009D00B9"/>
    <w:rPr>
      <w:rFonts w:ascii="Arial" w:eastAsiaTheme="majorEastAsia" w:hAnsi="Arial" w:cs="Arial"/>
      <w:sz w:val="24"/>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9D00B9"/>
    <w:rPr>
      <w:rFonts w:ascii="Arial" w:eastAsiaTheme="majorEastAsia" w:hAnsi="Arial" w:cs="Arial"/>
      <w:sz w:val="24"/>
      <w:szCs w:val="24"/>
      <w:lang w:val="en-GB" w:eastAsia="zh-CN"/>
    </w:rPr>
  </w:style>
  <w:style w:type="character" w:customStyle="1" w:styleId="Heading5Char">
    <w:name w:val="Heading 5 Char"/>
    <w:aliases w:val="h5 Char,Heading5 Char"/>
    <w:basedOn w:val="DefaultParagraphFont"/>
    <w:link w:val="Heading5"/>
    <w:rsid w:val="009D00B9"/>
    <w:rPr>
      <w:rFonts w:ascii="Arial" w:eastAsiaTheme="majorEastAsia" w:hAnsi="Arial" w:cs="Arial"/>
      <w:lang w:val="en-GB" w:eastAsia="zh-CN"/>
    </w:rPr>
  </w:style>
  <w:style w:type="character" w:customStyle="1" w:styleId="Heading6Char">
    <w:name w:val="Heading 6 Char"/>
    <w:aliases w:val="h6 Char"/>
    <w:basedOn w:val="DefaultParagraphFont"/>
    <w:link w:val="Heading6"/>
    <w:rsid w:val="009D00B9"/>
    <w:rPr>
      <w:rFonts w:eastAsiaTheme="majorEastAsia" w:cs="Arial"/>
      <w:sz w:val="20"/>
      <w:szCs w:val="20"/>
      <w:lang w:val="en-GB" w:eastAsia="zh-CN"/>
    </w:rPr>
  </w:style>
  <w:style w:type="character" w:customStyle="1" w:styleId="Heading7Char">
    <w:name w:val="Heading 7 Char"/>
    <w:basedOn w:val="DefaultParagraphFont"/>
    <w:link w:val="Heading7"/>
    <w:rsid w:val="009D00B9"/>
    <w:rPr>
      <w:rFonts w:eastAsiaTheme="majorEastAsia" w:cs="Arial"/>
      <w:sz w:val="20"/>
      <w:szCs w:val="20"/>
      <w:lang w:val="en-GB" w:eastAsia="zh-CN"/>
    </w:rPr>
  </w:style>
  <w:style w:type="character" w:customStyle="1" w:styleId="Heading8Char">
    <w:name w:val="Heading 8 Char"/>
    <w:basedOn w:val="DefaultParagraphFont"/>
    <w:link w:val="Heading8"/>
    <w:rsid w:val="009D00B9"/>
    <w:rPr>
      <w:rFonts w:eastAsiaTheme="majorEastAsia" w:cs="Arial"/>
      <w:sz w:val="20"/>
      <w:szCs w:val="20"/>
      <w:lang w:val="en-GB" w:eastAsia="zh-CN"/>
    </w:rPr>
  </w:style>
  <w:style w:type="character" w:customStyle="1" w:styleId="Heading9Char">
    <w:name w:val="Heading 9 Char"/>
    <w:aliases w:val="Figure Heading Char,FH Char"/>
    <w:basedOn w:val="DefaultParagraphFont"/>
    <w:link w:val="Heading9"/>
    <w:rsid w:val="009D00B9"/>
    <w:rPr>
      <w:rFonts w:eastAsiaTheme="majorEastAsia" w:cs="Arial"/>
      <w:sz w:val="20"/>
      <w:szCs w:val="20"/>
      <w:lang w:val="en-GB" w:eastAsia="zh-CN"/>
    </w:rPr>
  </w:style>
  <w:style w:type="paragraph" w:styleId="Caption">
    <w:name w:val="caption"/>
    <w:basedOn w:val="Normal"/>
    <w:next w:val="Normal"/>
    <w:qFormat/>
    <w:rsid w:val="009D00B9"/>
    <w:pPr>
      <w:spacing w:after="240"/>
      <w:jc w:val="center"/>
    </w:pPr>
    <w:rPr>
      <w:b/>
      <w:bCs/>
    </w:rPr>
  </w:style>
  <w:style w:type="paragraph" w:styleId="BodyText">
    <w:name w:val="Body Text"/>
    <w:basedOn w:val="Normal"/>
    <w:link w:val="BodyTextChar"/>
    <w:qFormat/>
    <w:rsid w:val="009D00B9"/>
    <w:rPr>
      <w:rFonts w:eastAsia="Times New Roman" w:cs="Times New Roman"/>
      <w:sz w:val="20"/>
    </w:rPr>
  </w:style>
  <w:style w:type="character" w:customStyle="1" w:styleId="BodyTextChar">
    <w:name w:val="Body Text Char"/>
    <w:basedOn w:val="DefaultParagraphFont"/>
    <w:link w:val="BodyText"/>
    <w:rsid w:val="009D00B9"/>
    <w:rPr>
      <w:rFonts w:eastAsia="Times New Roman" w:cs="Times New Roman"/>
      <w:sz w:val="20"/>
      <w:szCs w:val="20"/>
      <w:lang w:val="en-GB" w:eastAsia="zh-CN"/>
    </w:rPr>
  </w:style>
  <w:style w:type="paragraph" w:styleId="ListParagraph">
    <w:name w:val="List Paragraph"/>
    <w:aliases w:val="Bullet,- Bullets,목록 단락,リスト段落,?? ??,?????,????,Lista1,列出段落,中等深浅网格 1 - 着色 21,列出段落1,列表段落"/>
    <w:basedOn w:val="Normal"/>
    <w:link w:val="ListParagraphChar"/>
    <w:uiPriority w:val="34"/>
    <w:qFormat/>
    <w:rsid w:val="009D00B9"/>
    <w:pPr>
      <w:overflowPunct/>
      <w:autoSpaceDE/>
      <w:autoSpaceDN/>
      <w:adjustRightInd/>
      <w:snapToGrid w:val="0"/>
      <w:ind w:left="720" w:hanging="360"/>
      <w:contextualSpacing/>
      <w:textAlignment w:val="auto"/>
    </w:pPr>
    <w:rPr>
      <w:rFonts w:eastAsia="SimSun"/>
      <w:szCs w:val="22"/>
      <w:lang w:eastAsia="ja-JP"/>
    </w:rPr>
  </w:style>
  <w:style w:type="character" w:customStyle="1" w:styleId="ListParagraphChar">
    <w:name w:val="List Paragraph Char"/>
    <w:aliases w:val="Bullet Char,- Bullets Char,목록 단락 Char,リスト段落 Char,?? ?? Char,????? Char,???? Char,Lista1 Char,列出段落 Char,中等深浅网格 1 - 着色 21 Char,列出段落1 Char,列表段落 Char"/>
    <w:link w:val="ListParagraph"/>
    <w:uiPriority w:val="34"/>
    <w:qFormat/>
    <w:locked/>
    <w:rsid w:val="009D00B9"/>
    <w:rPr>
      <w:rFonts w:eastAsia="SimSun"/>
      <w:lang w:val="en-GB" w:eastAsia="ja-JP"/>
    </w:rPr>
  </w:style>
  <w:style w:type="table" w:styleId="TableGrid">
    <w:name w:val="Table Grid"/>
    <w:basedOn w:val="TableNormal"/>
    <w:uiPriority w:val="39"/>
    <w:rsid w:val="005E1F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D51E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rsid w:val="00D51E0E"/>
    <w:rPr>
      <w:rFonts w:ascii="Courier New" w:eastAsia="Batang" w:hAnsi="Courier New" w:cs="Times New Roman"/>
      <w:noProof/>
      <w:sz w:val="16"/>
      <w:szCs w:val="20"/>
      <w:shd w:val="clear" w:color="auto" w:fill="E6E6E6"/>
      <w:lang w:val="en-GB" w:eastAsia="sv-SE"/>
    </w:rPr>
  </w:style>
  <w:style w:type="paragraph" w:styleId="TOC1">
    <w:name w:val="toc 1"/>
    <w:basedOn w:val="Normal"/>
    <w:next w:val="Normal"/>
    <w:autoRedefine/>
    <w:uiPriority w:val="39"/>
    <w:unhideWhenUsed/>
    <w:rsid w:val="00870A95"/>
    <w:pPr>
      <w:tabs>
        <w:tab w:val="left" w:pos="1540"/>
        <w:tab w:val="right" w:leader="dot" w:pos="9350"/>
      </w:tabs>
      <w:spacing w:after="100"/>
      <w:ind w:left="1530" w:hanging="1530"/>
    </w:pPr>
    <w:rPr>
      <w:rFonts w:eastAsia="Malgun Gothic" w:cstheme="minorHAnsi"/>
      <w:b/>
      <w:noProof/>
      <w:lang w:val="en-US" w:eastAsia="en-US"/>
    </w:rPr>
  </w:style>
  <w:style w:type="character" w:styleId="Hyperlink">
    <w:name w:val="Hyperlink"/>
    <w:basedOn w:val="DefaultParagraphFont"/>
    <w:uiPriority w:val="99"/>
    <w:unhideWhenUsed/>
    <w:rsid w:val="00E65ED1"/>
    <w:rPr>
      <w:color w:val="0563C1" w:themeColor="hyperlink"/>
      <w:u w:val="single"/>
    </w:rPr>
  </w:style>
  <w:style w:type="paragraph" w:customStyle="1" w:styleId="Style1">
    <w:name w:val="Style1"/>
    <w:basedOn w:val="Normal"/>
    <w:link w:val="Style1Char"/>
    <w:rsid w:val="0031408C"/>
    <w:pPr>
      <w:overflowPunct/>
      <w:autoSpaceDE/>
      <w:autoSpaceDN/>
      <w:adjustRightInd/>
      <w:spacing w:after="180" w:line="288" w:lineRule="auto"/>
      <w:ind w:firstLine="360"/>
      <w:textAlignment w:val="auto"/>
    </w:pPr>
    <w:rPr>
      <w:rFonts w:ascii="Times New Roman" w:eastAsia="Malgun Gothic" w:hAnsi="Times New Roman" w:cs="Batang"/>
      <w:lang w:eastAsia="en-US"/>
    </w:rPr>
  </w:style>
  <w:style w:type="character" w:customStyle="1" w:styleId="Style1Char">
    <w:name w:val="Style1 Char"/>
    <w:link w:val="Style1"/>
    <w:rsid w:val="0031408C"/>
    <w:rPr>
      <w:rFonts w:ascii="Times New Roman" w:eastAsia="Malgun Gothic" w:hAnsi="Times New Roman" w:cs="Batang"/>
      <w:sz w:val="20"/>
      <w:szCs w:val="20"/>
      <w:lang w:val="en-GB" w:eastAsia="en-US"/>
    </w:rPr>
  </w:style>
  <w:style w:type="character" w:styleId="PlaceholderText">
    <w:name w:val="Placeholder Text"/>
    <w:basedOn w:val="DefaultParagraphFont"/>
    <w:uiPriority w:val="99"/>
    <w:semiHidden/>
    <w:rsid w:val="00E6785D"/>
    <w:rPr>
      <w:color w:val="808080"/>
    </w:rPr>
  </w:style>
  <w:style w:type="character" w:styleId="CommentReference">
    <w:name w:val="annotation reference"/>
    <w:basedOn w:val="DefaultParagraphFont"/>
    <w:uiPriority w:val="99"/>
    <w:semiHidden/>
    <w:unhideWhenUsed/>
    <w:rsid w:val="001D0914"/>
    <w:rPr>
      <w:sz w:val="18"/>
      <w:szCs w:val="18"/>
    </w:rPr>
  </w:style>
  <w:style w:type="paragraph" w:styleId="CommentText">
    <w:name w:val="annotation text"/>
    <w:basedOn w:val="Normal"/>
    <w:link w:val="CommentTextChar"/>
    <w:uiPriority w:val="99"/>
    <w:semiHidden/>
    <w:unhideWhenUsed/>
    <w:rsid w:val="001D0914"/>
    <w:pPr>
      <w:jc w:val="left"/>
    </w:pPr>
  </w:style>
  <w:style w:type="character" w:customStyle="1" w:styleId="CommentTextChar">
    <w:name w:val="Comment Text Char"/>
    <w:basedOn w:val="DefaultParagraphFont"/>
    <w:link w:val="CommentText"/>
    <w:uiPriority w:val="99"/>
    <w:semiHidden/>
    <w:rsid w:val="001D0914"/>
    <w:rPr>
      <w:sz w:val="20"/>
      <w:szCs w:val="20"/>
      <w:lang w:val="en-GB" w:eastAsia="zh-CN"/>
    </w:rPr>
  </w:style>
  <w:style w:type="paragraph" w:styleId="CommentSubject">
    <w:name w:val="annotation subject"/>
    <w:basedOn w:val="CommentText"/>
    <w:next w:val="CommentText"/>
    <w:link w:val="CommentSubjectChar"/>
    <w:uiPriority w:val="99"/>
    <w:semiHidden/>
    <w:unhideWhenUsed/>
    <w:rsid w:val="001D0914"/>
    <w:rPr>
      <w:b/>
      <w:bCs/>
    </w:rPr>
  </w:style>
  <w:style w:type="character" w:customStyle="1" w:styleId="CommentSubjectChar">
    <w:name w:val="Comment Subject Char"/>
    <w:basedOn w:val="CommentTextChar"/>
    <w:link w:val="CommentSubject"/>
    <w:uiPriority w:val="99"/>
    <w:semiHidden/>
    <w:rsid w:val="001D0914"/>
    <w:rPr>
      <w:b/>
      <w:bCs/>
      <w:sz w:val="20"/>
      <w:szCs w:val="20"/>
      <w:lang w:val="en-GB" w:eastAsia="zh-CN"/>
    </w:rPr>
  </w:style>
  <w:style w:type="paragraph" w:styleId="BalloonText">
    <w:name w:val="Balloon Text"/>
    <w:basedOn w:val="Normal"/>
    <w:link w:val="BalloonTextChar"/>
    <w:uiPriority w:val="99"/>
    <w:semiHidden/>
    <w:unhideWhenUsed/>
    <w:rsid w:val="001D0914"/>
    <w:pPr>
      <w:spacing w:after="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1D0914"/>
    <w:rPr>
      <w:rFonts w:asciiTheme="majorHAnsi" w:eastAsiaTheme="majorEastAsia" w:hAnsiTheme="majorHAnsi" w:cstheme="majorBidi"/>
      <w:sz w:val="18"/>
      <w:szCs w:val="18"/>
      <w:lang w:val="en-GB" w:eastAsia="zh-CN"/>
    </w:rPr>
  </w:style>
  <w:style w:type="paragraph" w:styleId="Header">
    <w:name w:val="header"/>
    <w:basedOn w:val="Normal"/>
    <w:link w:val="HeaderChar"/>
    <w:uiPriority w:val="99"/>
    <w:unhideWhenUsed/>
    <w:rsid w:val="0063297B"/>
    <w:pPr>
      <w:tabs>
        <w:tab w:val="center" w:pos="4153"/>
        <w:tab w:val="right" w:pos="8306"/>
      </w:tabs>
      <w:snapToGrid w:val="0"/>
    </w:pPr>
  </w:style>
  <w:style w:type="character" w:customStyle="1" w:styleId="HeaderChar">
    <w:name w:val="Header Char"/>
    <w:basedOn w:val="DefaultParagraphFont"/>
    <w:link w:val="Header"/>
    <w:uiPriority w:val="99"/>
    <w:rsid w:val="0063297B"/>
    <w:rPr>
      <w:sz w:val="20"/>
      <w:szCs w:val="20"/>
      <w:lang w:val="en-GB" w:eastAsia="zh-CN"/>
    </w:rPr>
  </w:style>
  <w:style w:type="paragraph" w:styleId="Footer">
    <w:name w:val="footer"/>
    <w:basedOn w:val="Normal"/>
    <w:link w:val="FooterChar"/>
    <w:uiPriority w:val="99"/>
    <w:unhideWhenUsed/>
    <w:rsid w:val="0063297B"/>
    <w:pPr>
      <w:tabs>
        <w:tab w:val="center" w:pos="4153"/>
        <w:tab w:val="right" w:pos="8306"/>
      </w:tabs>
      <w:snapToGrid w:val="0"/>
    </w:pPr>
  </w:style>
  <w:style w:type="character" w:customStyle="1" w:styleId="FooterChar">
    <w:name w:val="Footer Char"/>
    <w:basedOn w:val="DefaultParagraphFont"/>
    <w:link w:val="Footer"/>
    <w:uiPriority w:val="99"/>
    <w:rsid w:val="0063297B"/>
    <w:rPr>
      <w:sz w:val="20"/>
      <w:szCs w:val="20"/>
      <w:lang w:val="en-GB" w:eastAsia="zh-CN"/>
    </w:rPr>
  </w:style>
  <w:style w:type="paragraph" w:customStyle="1" w:styleId="0Maintext">
    <w:name w:val="0 Main text"/>
    <w:basedOn w:val="Normal"/>
    <w:link w:val="0MaintextChar"/>
    <w:rsid w:val="00092C12"/>
    <w:pPr>
      <w:overflowPunct/>
      <w:autoSpaceDE/>
      <w:autoSpaceDN/>
      <w:adjustRightInd/>
      <w:spacing w:after="100" w:afterAutospacing="1" w:line="288" w:lineRule="auto"/>
      <w:ind w:firstLine="360"/>
      <w:textAlignment w:val="auto"/>
    </w:pPr>
    <w:rPr>
      <w:rFonts w:ascii="Times New Roman" w:eastAsia="Malgun Gothic" w:hAnsi="Times New Roman" w:cs="Batang"/>
      <w:lang w:eastAsia="en-US"/>
    </w:rPr>
  </w:style>
  <w:style w:type="character" w:customStyle="1" w:styleId="0MaintextChar">
    <w:name w:val="0 Main text Char"/>
    <w:basedOn w:val="DefaultParagraphFont"/>
    <w:link w:val="0Maintext"/>
    <w:rsid w:val="00092C12"/>
    <w:rPr>
      <w:rFonts w:ascii="Times New Roman" w:eastAsia="Malgun Gothic" w:hAnsi="Times New Roman" w:cs="Batang"/>
      <w:sz w:val="20"/>
      <w:szCs w:val="20"/>
      <w:lang w:val="en-GB" w:eastAsia="en-US"/>
    </w:rPr>
  </w:style>
  <w:style w:type="paragraph" w:customStyle="1" w:styleId="LGTdoc">
    <w:name w:val="LGTdoc_본문"/>
    <w:basedOn w:val="Normal"/>
    <w:link w:val="LGTdocChar"/>
    <w:qFormat/>
    <w:rsid w:val="009D00B9"/>
    <w:pPr>
      <w:widowControl w:val="0"/>
      <w:overflowPunct/>
      <w:snapToGrid w:val="0"/>
      <w:spacing w:afterLines="50" w:line="264" w:lineRule="auto"/>
      <w:textAlignment w:val="auto"/>
    </w:pPr>
    <w:rPr>
      <w:rFonts w:ascii="Times New Roman" w:eastAsia="Batang" w:hAnsi="Times New Roman" w:cs="Times New Roman"/>
      <w:kern w:val="2"/>
      <w:szCs w:val="24"/>
      <w:lang w:eastAsia="ko-KR"/>
    </w:rPr>
  </w:style>
  <w:style w:type="character" w:customStyle="1" w:styleId="LGTdocChar">
    <w:name w:val="LGTdoc_본문 Char"/>
    <w:link w:val="LGTdoc"/>
    <w:qFormat/>
    <w:rsid w:val="009D00B9"/>
    <w:rPr>
      <w:rFonts w:ascii="Times New Roman" w:eastAsia="Batang" w:hAnsi="Times New Roman" w:cs="Times New Roman"/>
      <w:kern w:val="2"/>
      <w:szCs w:val="24"/>
      <w:lang w:val="en-GB" w:eastAsia="ko-KR"/>
    </w:rPr>
  </w:style>
  <w:style w:type="paragraph" w:styleId="Title">
    <w:name w:val="Title"/>
    <w:basedOn w:val="Normal"/>
    <w:next w:val="Normal"/>
    <w:link w:val="TitleChar"/>
    <w:uiPriority w:val="10"/>
    <w:qFormat/>
    <w:rsid w:val="009D00B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D00B9"/>
    <w:rPr>
      <w:rFonts w:asciiTheme="majorHAnsi" w:eastAsiaTheme="majorEastAsia" w:hAnsiTheme="majorHAnsi" w:cstheme="majorBidi"/>
      <w:spacing w:val="-10"/>
      <w:kern w:val="28"/>
      <w:sz w:val="56"/>
      <w:szCs w:val="56"/>
      <w:lang w:val="en-GB" w:eastAsia="zh-CN"/>
    </w:rPr>
  </w:style>
  <w:style w:type="paragraph" w:styleId="Subtitle">
    <w:name w:val="Subtitle"/>
    <w:basedOn w:val="Normal"/>
    <w:next w:val="Normal"/>
    <w:link w:val="SubtitleChar"/>
    <w:uiPriority w:val="11"/>
    <w:qFormat/>
    <w:rsid w:val="009D00B9"/>
    <w:pPr>
      <w:numPr>
        <w:ilvl w:val="1"/>
      </w:numPr>
      <w:spacing w:after="160"/>
    </w:pPr>
    <w:rPr>
      <w:color w:val="5A5A5A" w:themeColor="text1" w:themeTint="A5"/>
      <w:spacing w:val="15"/>
      <w:szCs w:val="22"/>
    </w:rPr>
  </w:style>
  <w:style w:type="character" w:customStyle="1" w:styleId="SubtitleChar">
    <w:name w:val="Subtitle Char"/>
    <w:basedOn w:val="DefaultParagraphFont"/>
    <w:link w:val="Subtitle"/>
    <w:uiPriority w:val="11"/>
    <w:rsid w:val="009D00B9"/>
    <w:rPr>
      <w:color w:val="5A5A5A" w:themeColor="text1" w:themeTint="A5"/>
      <w:spacing w:val="15"/>
      <w:lang w:val="en-GB" w:eastAsia="zh-CN"/>
    </w:rPr>
  </w:style>
  <w:style w:type="character" w:styleId="Strong">
    <w:name w:val="Strong"/>
    <w:basedOn w:val="DefaultParagraphFont"/>
    <w:uiPriority w:val="22"/>
    <w:qFormat/>
    <w:rsid w:val="009D00B9"/>
    <w:rPr>
      <w:b/>
      <w:bCs/>
    </w:rPr>
  </w:style>
  <w:style w:type="character" w:styleId="Emphasis">
    <w:name w:val="Emphasis"/>
    <w:basedOn w:val="DefaultParagraphFont"/>
    <w:uiPriority w:val="20"/>
    <w:qFormat/>
    <w:rsid w:val="009D00B9"/>
    <w:rPr>
      <w:i/>
      <w:iCs/>
    </w:rPr>
  </w:style>
  <w:style w:type="paragraph" w:styleId="NoSpacing">
    <w:name w:val="No Spacing"/>
    <w:uiPriority w:val="1"/>
    <w:qFormat/>
    <w:rsid w:val="009D00B9"/>
    <w:pPr>
      <w:overflowPunct w:val="0"/>
      <w:autoSpaceDE w:val="0"/>
      <w:autoSpaceDN w:val="0"/>
      <w:adjustRightInd w:val="0"/>
      <w:spacing w:after="0" w:line="240" w:lineRule="auto"/>
      <w:jc w:val="both"/>
      <w:textAlignment w:val="baseline"/>
    </w:pPr>
    <w:rPr>
      <w:sz w:val="20"/>
      <w:szCs w:val="20"/>
      <w:lang w:val="en-GB" w:eastAsia="zh-CN"/>
    </w:rPr>
  </w:style>
  <w:style w:type="paragraph" w:styleId="Quote">
    <w:name w:val="Quote"/>
    <w:basedOn w:val="Normal"/>
    <w:next w:val="Normal"/>
    <w:link w:val="QuoteChar"/>
    <w:uiPriority w:val="29"/>
    <w:qFormat/>
    <w:rsid w:val="009D00B9"/>
    <w:pPr>
      <w:spacing w:before="200" w:after="160"/>
      <w:ind w:left="864" w:right="864"/>
      <w:jc w:val="center"/>
    </w:pPr>
    <w:rPr>
      <w:i/>
      <w:iCs/>
      <w:color w:val="404040" w:themeColor="text1" w:themeTint="BF"/>
      <w:sz w:val="20"/>
    </w:rPr>
  </w:style>
  <w:style w:type="character" w:customStyle="1" w:styleId="QuoteChar">
    <w:name w:val="Quote Char"/>
    <w:basedOn w:val="DefaultParagraphFont"/>
    <w:link w:val="Quote"/>
    <w:uiPriority w:val="29"/>
    <w:rsid w:val="009D00B9"/>
    <w:rPr>
      <w:i/>
      <w:iCs/>
      <w:color w:val="404040" w:themeColor="text1" w:themeTint="BF"/>
      <w:sz w:val="20"/>
      <w:szCs w:val="20"/>
      <w:lang w:val="en-GB" w:eastAsia="zh-CN"/>
    </w:rPr>
  </w:style>
  <w:style w:type="paragraph" w:styleId="IntenseQuote">
    <w:name w:val="Intense Quote"/>
    <w:basedOn w:val="Normal"/>
    <w:next w:val="Normal"/>
    <w:link w:val="IntenseQuoteChar"/>
    <w:uiPriority w:val="30"/>
    <w:qFormat/>
    <w:rsid w:val="009D00B9"/>
    <w:pPr>
      <w:pBdr>
        <w:top w:val="single" w:sz="4" w:space="10" w:color="4472C4" w:themeColor="accent1"/>
        <w:bottom w:val="single" w:sz="4" w:space="10" w:color="4472C4" w:themeColor="accent1"/>
      </w:pBdr>
      <w:spacing w:before="360" w:after="360"/>
      <w:ind w:left="864" w:right="864"/>
      <w:jc w:val="center"/>
    </w:pPr>
    <w:rPr>
      <w:i/>
      <w:iCs/>
      <w:color w:val="4472C4" w:themeColor="accent1"/>
      <w:sz w:val="20"/>
    </w:rPr>
  </w:style>
  <w:style w:type="character" w:customStyle="1" w:styleId="IntenseQuoteChar">
    <w:name w:val="Intense Quote Char"/>
    <w:basedOn w:val="DefaultParagraphFont"/>
    <w:link w:val="IntenseQuote"/>
    <w:uiPriority w:val="30"/>
    <w:rsid w:val="009D00B9"/>
    <w:rPr>
      <w:i/>
      <w:iCs/>
      <w:color w:val="4472C4" w:themeColor="accent1"/>
      <w:sz w:val="20"/>
      <w:szCs w:val="20"/>
      <w:lang w:val="en-GB" w:eastAsia="zh-CN"/>
    </w:rPr>
  </w:style>
  <w:style w:type="character" w:styleId="SubtleEmphasis">
    <w:name w:val="Subtle Emphasis"/>
    <w:basedOn w:val="DefaultParagraphFont"/>
    <w:uiPriority w:val="19"/>
    <w:qFormat/>
    <w:rsid w:val="009D00B9"/>
    <w:rPr>
      <w:i/>
      <w:iCs/>
      <w:color w:val="404040" w:themeColor="text1" w:themeTint="BF"/>
    </w:rPr>
  </w:style>
  <w:style w:type="character" w:styleId="IntenseEmphasis">
    <w:name w:val="Intense Emphasis"/>
    <w:basedOn w:val="DefaultParagraphFont"/>
    <w:uiPriority w:val="21"/>
    <w:qFormat/>
    <w:rsid w:val="009D00B9"/>
    <w:rPr>
      <w:i/>
      <w:iCs/>
      <w:color w:val="4472C4" w:themeColor="accent1"/>
    </w:rPr>
  </w:style>
  <w:style w:type="character" w:styleId="SubtleReference">
    <w:name w:val="Subtle Reference"/>
    <w:basedOn w:val="DefaultParagraphFont"/>
    <w:uiPriority w:val="31"/>
    <w:qFormat/>
    <w:rsid w:val="009D00B9"/>
    <w:rPr>
      <w:smallCaps/>
      <w:color w:val="5A5A5A" w:themeColor="text1" w:themeTint="A5"/>
    </w:rPr>
  </w:style>
  <w:style w:type="character" w:styleId="IntenseReference">
    <w:name w:val="Intense Reference"/>
    <w:basedOn w:val="DefaultParagraphFont"/>
    <w:uiPriority w:val="32"/>
    <w:qFormat/>
    <w:rsid w:val="009D00B9"/>
    <w:rPr>
      <w:b/>
      <w:bCs/>
      <w:smallCaps/>
      <w:color w:val="4472C4" w:themeColor="accent1"/>
      <w:spacing w:val="5"/>
    </w:rPr>
  </w:style>
  <w:style w:type="character" w:styleId="BookTitle">
    <w:name w:val="Book Title"/>
    <w:basedOn w:val="DefaultParagraphFont"/>
    <w:uiPriority w:val="33"/>
    <w:qFormat/>
    <w:rsid w:val="009D00B9"/>
    <w:rPr>
      <w:b/>
      <w:bCs/>
      <w:i/>
      <w:iCs/>
      <w:spacing w:val="5"/>
    </w:rPr>
  </w:style>
  <w:style w:type="paragraph" w:styleId="TOCHeading">
    <w:name w:val="TOC Heading"/>
    <w:basedOn w:val="Heading1"/>
    <w:next w:val="Normal"/>
    <w:uiPriority w:val="39"/>
    <w:semiHidden/>
    <w:unhideWhenUsed/>
    <w:qFormat/>
    <w:rsid w:val="009D00B9"/>
    <w:pPr>
      <w:numPr>
        <w:numId w:val="0"/>
      </w:numPr>
      <w:pBdr>
        <w:top w:val="none" w:sz="0" w:space="0" w:color="auto"/>
      </w:pBdr>
      <w:spacing w:after="0"/>
      <w:jc w:val="both"/>
      <w:outlineLvl w:val="9"/>
    </w:pPr>
    <w:rPr>
      <w:rFonts w:asciiTheme="majorHAnsi" w:hAnsiTheme="majorHAnsi" w:cstheme="majorBidi"/>
      <w:color w:val="2F5496" w:themeColor="accent1" w:themeShade="BF"/>
      <w:szCs w:val="32"/>
    </w:rPr>
  </w:style>
  <w:style w:type="character" w:styleId="UnresolvedMention">
    <w:name w:val="Unresolved Mention"/>
    <w:basedOn w:val="DefaultParagraphFont"/>
    <w:uiPriority w:val="99"/>
    <w:semiHidden/>
    <w:unhideWhenUsed/>
    <w:rsid w:val="00C41981"/>
    <w:rPr>
      <w:color w:val="605E5C"/>
      <w:shd w:val="clear" w:color="auto" w:fill="E1DFDD"/>
    </w:rPr>
  </w:style>
  <w:style w:type="character" w:styleId="FollowedHyperlink">
    <w:name w:val="FollowedHyperlink"/>
    <w:basedOn w:val="DefaultParagraphFont"/>
    <w:uiPriority w:val="99"/>
    <w:semiHidden/>
    <w:unhideWhenUsed/>
    <w:rsid w:val="00375A17"/>
    <w:rPr>
      <w:color w:val="954F72" w:themeColor="followedHyperlink"/>
      <w:u w:val="single"/>
    </w:rPr>
  </w:style>
  <w:style w:type="paragraph" w:customStyle="1" w:styleId="TAH">
    <w:name w:val="TAH"/>
    <w:basedOn w:val="TAC"/>
    <w:link w:val="TAHCar"/>
    <w:qFormat/>
    <w:rsid w:val="009D00B9"/>
    <w:rPr>
      <w:b/>
    </w:rPr>
  </w:style>
  <w:style w:type="character" w:customStyle="1" w:styleId="TAHCar">
    <w:name w:val="TAH Car"/>
    <w:link w:val="TAH"/>
    <w:qFormat/>
    <w:rsid w:val="009D00B9"/>
    <w:rPr>
      <w:rFonts w:ascii="Arial" w:eastAsia="Times New Roman" w:hAnsi="Arial" w:cs="Times New Roman"/>
      <w:b/>
      <w:sz w:val="18"/>
      <w:szCs w:val="20"/>
      <w:lang w:val="en-GB" w:eastAsia="ja-JP"/>
    </w:rPr>
  </w:style>
  <w:style w:type="paragraph" w:customStyle="1" w:styleId="TAC">
    <w:name w:val="TAC"/>
    <w:basedOn w:val="Normal"/>
    <w:link w:val="TACChar"/>
    <w:qFormat/>
    <w:rsid w:val="009D00B9"/>
    <w:pPr>
      <w:keepNext/>
      <w:keepLines/>
      <w:spacing w:after="0"/>
      <w:jc w:val="center"/>
    </w:pPr>
    <w:rPr>
      <w:rFonts w:ascii="Arial" w:eastAsia="Times New Roman" w:hAnsi="Arial" w:cs="Times New Roman"/>
      <w:sz w:val="18"/>
      <w:lang w:eastAsia="ja-JP"/>
    </w:rPr>
  </w:style>
  <w:style w:type="character" w:customStyle="1" w:styleId="TACChar">
    <w:name w:val="TAC Char"/>
    <w:link w:val="TAC"/>
    <w:qFormat/>
    <w:rsid w:val="009D00B9"/>
    <w:rPr>
      <w:rFonts w:ascii="Arial" w:eastAsia="Times New Roman" w:hAnsi="Arial" w:cs="Times New Roman"/>
      <w:sz w:val="18"/>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461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intelsat.com/" TargetMode="External"/><Relationship Id="rId4" Type="http://schemas.openxmlformats.org/officeDocument/2006/relationships/settings" Target="settings.xml"/><Relationship Id="rId9"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ccheng\Desktop\MTI%20Tdoc.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943F5C-AF85-4790-8258-36C2DF9E5B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MTI Tdoc</Template>
  <TotalTime>10305</TotalTime>
  <Pages>4</Pages>
  <Words>1448</Words>
  <Characters>8255</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APT, MTI</Company>
  <LinksUpToDate>false</LinksUpToDate>
  <CharactersWithSpaces>9684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Chien-Chun CHENG</dc:creator>
  <cp:keywords/>
  <dc:description/>
  <cp:lastModifiedBy>Chien-Chun CHENG</cp:lastModifiedBy>
  <cp:revision>224</cp:revision>
  <dcterms:created xsi:type="dcterms:W3CDTF">2019-03-21T07:10:00Z</dcterms:created>
  <dcterms:modified xsi:type="dcterms:W3CDTF">2019-05-03T09:27:00Z</dcterms:modified>
</cp:coreProperties>
</file>